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60" w:rsidRPr="00AB487C" w:rsidRDefault="00492960" w:rsidP="003257D7">
      <w:pPr>
        <w:jc w:val="center"/>
        <w:rPr>
          <w:b/>
          <w:sz w:val="28"/>
          <w:szCs w:val="28"/>
        </w:rPr>
      </w:pPr>
    </w:p>
    <w:p w:rsidR="00492960" w:rsidRPr="00AB487C" w:rsidRDefault="00492960" w:rsidP="003257D7">
      <w:pPr>
        <w:jc w:val="center"/>
        <w:rPr>
          <w:b/>
          <w:sz w:val="28"/>
          <w:szCs w:val="28"/>
        </w:rPr>
      </w:pPr>
    </w:p>
    <w:p w:rsidR="00492960" w:rsidRPr="00AB487C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jc w:val="center"/>
        <w:rPr>
          <w:b/>
          <w:sz w:val="28"/>
          <w:szCs w:val="28"/>
        </w:rPr>
      </w:pPr>
    </w:p>
    <w:p w:rsidR="00492960" w:rsidRPr="00DE63D0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spacing w:after="0" w:line="240" w:lineRule="auto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Estudo do a</w:t>
      </w:r>
      <w:r w:rsidRPr="00DE63D0">
        <w:rPr>
          <w:b/>
          <w:sz w:val="44"/>
          <w:szCs w:val="36"/>
        </w:rPr>
        <w:t>cesso a conteúdos</w:t>
      </w:r>
    </w:p>
    <w:p w:rsidR="00492960" w:rsidRPr="00DE63D0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spacing w:after="0" w:line="240" w:lineRule="auto"/>
        <w:jc w:val="center"/>
        <w:rPr>
          <w:b/>
          <w:sz w:val="44"/>
          <w:szCs w:val="36"/>
        </w:rPr>
      </w:pPr>
      <w:r w:rsidRPr="00DE63D0">
        <w:rPr>
          <w:b/>
          <w:sz w:val="44"/>
          <w:szCs w:val="36"/>
        </w:rPr>
        <w:t>Para o mercado de pay-tv</w:t>
      </w:r>
    </w:p>
    <w:p w:rsidR="00492960" w:rsidRPr="00DE63D0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spacing w:after="0" w:line="240" w:lineRule="auto"/>
        <w:jc w:val="center"/>
        <w:rPr>
          <w:b/>
          <w:sz w:val="28"/>
          <w:szCs w:val="28"/>
        </w:rPr>
      </w:pPr>
    </w:p>
    <w:p w:rsidR="00492960" w:rsidRPr="00DE63D0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spacing w:after="0" w:line="240" w:lineRule="auto"/>
        <w:jc w:val="center"/>
        <w:rPr>
          <w:b/>
          <w:sz w:val="28"/>
          <w:szCs w:val="28"/>
        </w:rPr>
      </w:pPr>
    </w:p>
    <w:p w:rsidR="00492960" w:rsidRPr="00DE63D0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spacing w:after="0" w:line="240" w:lineRule="auto"/>
        <w:jc w:val="center"/>
        <w:rPr>
          <w:b/>
          <w:sz w:val="28"/>
          <w:szCs w:val="28"/>
        </w:rPr>
      </w:pPr>
      <w:r w:rsidRPr="00DE63D0">
        <w:rPr>
          <w:b/>
          <w:sz w:val="28"/>
          <w:szCs w:val="28"/>
        </w:rPr>
        <w:t>Posição comum</w:t>
      </w:r>
    </w:p>
    <w:p w:rsidR="00492960" w:rsidRPr="00DE63D0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spacing w:after="0" w:line="240" w:lineRule="auto"/>
        <w:jc w:val="center"/>
        <w:rPr>
          <w:b/>
          <w:sz w:val="28"/>
          <w:szCs w:val="28"/>
        </w:rPr>
      </w:pPr>
    </w:p>
    <w:p w:rsidR="00492960" w:rsidRPr="00DE63D0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spacing w:after="0" w:line="240" w:lineRule="auto"/>
        <w:jc w:val="center"/>
        <w:rPr>
          <w:b/>
          <w:sz w:val="28"/>
          <w:szCs w:val="28"/>
        </w:rPr>
      </w:pPr>
    </w:p>
    <w:p w:rsidR="00492960" w:rsidRPr="00DE63D0" w:rsidRDefault="00492960" w:rsidP="003257D7">
      <w:pPr>
        <w:framePr w:w="8783" w:h="4411" w:hRule="exact" w:hSpace="181" w:wrap="notBeside" w:vAnchor="page" w:hAnchor="text" w:xAlign="center" w:y="4172"/>
        <w:pBdr>
          <w:top w:val="single" w:sz="6" w:space="4" w:color="0000FF"/>
          <w:left w:val="single" w:sz="6" w:space="7" w:color="0000FF"/>
          <w:bottom w:val="single" w:sz="6" w:space="4" w:color="0000FF"/>
          <w:right w:val="single" w:sz="6" w:space="7" w:color="0000FF"/>
        </w:pBdr>
        <w:shd w:val="solid" w:color="C0C0C0" w:fill="FFFFFF"/>
        <w:spacing w:after="0" w:line="240" w:lineRule="auto"/>
        <w:jc w:val="center"/>
        <w:rPr>
          <w:b/>
          <w:sz w:val="28"/>
          <w:szCs w:val="28"/>
        </w:rPr>
      </w:pPr>
      <w:r w:rsidRPr="00DE63D0">
        <w:rPr>
          <w:b/>
          <w:sz w:val="28"/>
          <w:szCs w:val="28"/>
        </w:rPr>
        <w:t>APRITEL</w:t>
      </w:r>
    </w:p>
    <w:p w:rsidR="00492960" w:rsidRPr="00DE63D0" w:rsidRDefault="00492960" w:rsidP="003257D7">
      <w:pPr>
        <w:jc w:val="center"/>
        <w:rPr>
          <w:b/>
          <w:sz w:val="28"/>
          <w:szCs w:val="28"/>
        </w:rPr>
      </w:pPr>
    </w:p>
    <w:p w:rsidR="00492960" w:rsidRPr="00DE63D0" w:rsidRDefault="00492960" w:rsidP="003257D7">
      <w:pPr>
        <w:jc w:val="center"/>
        <w:rPr>
          <w:b/>
          <w:sz w:val="28"/>
          <w:szCs w:val="28"/>
        </w:rPr>
      </w:pPr>
    </w:p>
    <w:p w:rsidR="00492960" w:rsidRPr="00DE63D0" w:rsidRDefault="00492960" w:rsidP="003257D7">
      <w:pPr>
        <w:jc w:val="center"/>
        <w:rPr>
          <w:b/>
          <w:sz w:val="28"/>
          <w:szCs w:val="28"/>
        </w:rPr>
      </w:pPr>
    </w:p>
    <w:p w:rsidR="00492960" w:rsidRPr="00DE63D0" w:rsidRDefault="00492960" w:rsidP="003257D7">
      <w:pPr>
        <w:jc w:val="center"/>
        <w:rPr>
          <w:b/>
          <w:sz w:val="28"/>
          <w:szCs w:val="28"/>
        </w:rPr>
      </w:pPr>
      <w:r w:rsidRPr="00DE63D0">
        <w:rPr>
          <w:b/>
          <w:sz w:val="28"/>
          <w:szCs w:val="28"/>
        </w:rPr>
        <w:t>13 de Janeiro de 2011</w:t>
      </w:r>
    </w:p>
    <w:p w:rsidR="00492960" w:rsidRPr="00DE63D0" w:rsidRDefault="00492960" w:rsidP="003257D7">
      <w:pPr>
        <w:jc w:val="center"/>
        <w:rPr>
          <w:b/>
          <w:sz w:val="28"/>
        </w:rPr>
      </w:pPr>
      <w:r w:rsidRPr="00DE63D0">
        <w:br w:type="page"/>
      </w:r>
      <w:r w:rsidRPr="00DE63D0">
        <w:rPr>
          <w:b/>
          <w:sz w:val="28"/>
        </w:rPr>
        <w:t>Índice</w:t>
      </w:r>
    </w:p>
    <w:p w:rsidR="00492960" w:rsidRPr="00DE63D0" w:rsidRDefault="00492960" w:rsidP="003257D7">
      <w:pPr>
        <w:jc w:val="center"/>
        <w:rPr>
          <w:b/>
          <w:sz w:val="28"/>
        </w:rPr>
      </w:pPr>
    </w:p>
    <w:p w:rsidR="00492960" w:rsidRDefault="00492960">
      <w:pPr>
        <w:pStyle w:val="TOCHeading"/>
      </w:pPr>
      <w:bookmarkStart w:id="0" w:name="_Toc279421172"/>
      <w:bookmarkStart w:id="1" w:name="_Toc282544678"/>
    </w:p>
    <w:p w:rsidR="00492960" w:rsidRDefault="00492960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82544795" w:history="1">
        <w:r w:rsidRPr="00863F0E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Cs w:val="22"/>
          </w:rPr>
          <w:tab/>
        </w:r>
        <w:r w:rsidRPr="00863F0E">
          <w:rPr>
            <w:rStyle w:val="Hyperlink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_Toc282544795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2960" w:rsidRDefault="00492960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Cs w:val="22"/>
        </w:rPr>
      </w:pPr>
      <w:hyperlink w:anchor="_Toc282544796" w:history="1">
        <w:r w:rsidRPr="00863F0E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Cs w:val="22"/>
          </w:rPr>
          <w:tab/>
        </w:r>
        <w:r w:rsidRPr="00863F0E">
          <w:rPr>
            <w:rStyle w:val="Hyperlink"/>
            <w:noProof/>
          </w:rPr>
          <w:t>Enquadramento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_Toc282544796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2960" w:rsidRDefault="00492960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Cs w:val="22"/>
        </w:rPr>
      </w:pPr>
      <w:hyperlink w:anchor="_Toc282544797" w:history="1">
        <w:r w:rsidRPr="00863F0E">
          <w:rPr>
            <w:rStyle w:val="Hyperlink"/>
            <w:noProof/>
          </w:rPr>
          <w:t>3.</w:t>
        </w:r>
        <w:r>
          <w:rPr>
            <w:rFonts w:ascii="Calibri" w:hAnsi="Calibri"/>
            <w:noProof/>
            <w:szCs w:val="22"/>
          </w:rPr>
          <w:tab/>
        </w:r>
        <w:r w:rsidRPr="00863F0E">
          <w:rPr>
            <w:rStyle w:val="Hyperlink"/>
            <w:noProof/>
          </w:rPr>
          <w:t>Principais conclusões relevantes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_Toc282544797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2960" w:rsidRDefault="00492960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Cs w:val="22"/>
        </w:rPr>
      </w:pPr>
      <w:hyperlink w:anchor="_Toc282544798" w:history="1">
        <w:r w:rsidRPr="00863F0E">
          <w:rPr>
            <w:rStyle w:val="Hyperlink"/>
            <w:noProof/>
          </w:rPr>
          <w:t>4.</w:t>
        </w:r>
        <w:r>
          <w:rPr>
            <w:rFonts w:ascii="Calibri" w:hAnsi="Calibri"/>
            <w:noProof/>
            <w:szCs w:val="22"/>
          </w:rPr>
          <w:tab/>
        </w:r>
        <w:r w:rsidRPr="00863F0E">
          <w:rPr>
            <w:rStyle w:val="Hyperlink"/>
            <w:noProof/>
          </w:rPr>
          <w:t>Remédios propostos para as barreiras identificadas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_Toc282544798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92960" w:rsidRDefault="00492960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Cs w:val="22"/>
        </w:rPr>
      </w:pPr>
      <w:hyperlink w:anchor="_Toc282544799" w:history="1">
        <w:r w:rsidRPr="00863F0E">
          <w:rPr>
            <w:rStyle w:val="Hyperlink"/>
            <w:noProof/>
          </w:rPr>
          <w:t>5.</w:t>
        </w:r>
        <w:r>
          <w:rPr>
            <w:rFonts w:ascii="Calibri" w:hAnsi="Calibri"/>
            <w:noProof/>
            <w:szCs w:val="22"/>
          </w:rPr>
          <w:tab/>
        </w:r>
        <w:r w:rsidRPr="00863F0E">
          <w:rPr>
            <w:rStyle w:val="Hyperlink"/>
            <w:noProof/>
          </w:rPr>
          <w:t>Ajustamentos ao modelo regulatório actual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_Toc282544799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92960" w:rsidRDefault="00492960">
      <w:pPr>
        <w:pStyle w:val="TOC1"/>
        <w:tabs>
          <w:tab w:val="left" w:pos="480"/>
          <w:tab w:val="right" w:leader="dot" w:pos="9062"/>
        </w:tabs>
        <w:rPr>
          <w:rFonts w:ascii="Calibri" w:hAnsi="Calibri"/>
          <w:noProof/>
          <w:szCs w:val="22"/>
        </w:rPr>
      </w:pPr>
      <w:hyperlink w:anchor="_Toc282544800" w:history="1">
        <w:r w:rsidRPr="00863F0E">
          <w:rPr>
            <w:rStyle w:val="Hyperlink"/>
            <w:noProof/>
          </w:rPr>
          <w:t>6.</w:t>
        </w:r>
        <w:r>
          <w:rPr>
            <w:rFonts w:ascii="Calibri" w:hAnsi="Calibri"/>
            <w:noProof/>
            <w:szCs w:val="22"/>
          </w:rPr>
          <w:tab/>
        </w:r>
        <w:r w:rsidRPr="00863F0E">
          <w:rPr>
            <w:rStyle w:val="Hyperlink"/>
            <w:noProof/>
          </w:rPr>
          <w:t>Considerações finais da APRITEL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_Toc282544800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92960" w:rsidRDefault="00492960">
      <w:r>
        <w:fldChar w:fldCharType="end"/>
      </w:r>
    </w:p>
    <w:p w:rsidR="00492960" w:rsidRDefault="00492960" w:rsidP="00312E45"/>
    <w:p w:rsidR="00492960" w:rsidRDefault="00492960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GB" w:eastAsia="en-GB"/>
        </w:rPr>
      </w:pPr>
      <w:r>
        <w:br w:type="page"/>
      </w:r>
    </w:p>
    <w:p w:rsidR="00492960" w:rsidRPr="00DE63D0" w:rsidRDefault="00492960" w:rsidP="003257D7">
      <w:pPr>
        <w:pStyle w:val="Heading1"/>
        <w:ind w:left="567" w:hanging="567"/>
      </w:pPr>
      <w:bookmarkStart w:id="2" w:name="_Toc282544795"/>
      <w:r w:rsidRPr="00DE63D0">
        <w:t>Introdução</w:t>
      </w:r>
      <w:bookmarkEnd w:id="2"/>
      <w:bookmarkEnd w:id="0"/>
      <w:bookmarkEnd w:id="1"/>
    </w:p>
    <w:p w:rsidR="00492960" w:rsidRPr="00DE63D0" w:rsidRDefault="00492960" w:rsidP="003257D7">
      <w:r w:rsidRPr="00DE63D0">
        <w:t>Este documento contém a posição comum dos Associados da APRITEL relativamente ao acesso grossista a conteúdos para formação das ofertas comerciais no mercado de televisão por subscrição (</w:t>
      </w:r>
      <w:r w:rsidRPr="00DE63D0">
        <w:rPr>
          <w:i/>
        </w:rPr>
        <w:t>Pay TV</w:t>
      </w:r>
      <w:r w:rsidRPr="00DE63D0">
        <w:t>).</w:t>
      </w:r>
    </w:p>
    <w:p w:rsidR="00492960" w:rsidRPr="00DE63D0" w:rsidRDefault="00492960" w:rsidP="003257D7">
      <w:r w:rsidRPr="00DE63D0">
        <w:t xml:space="preserve">Esta posição resulta de uma análise consubstanciada nas várias vertentes essenciais para que um operador no mercado de </w:t>
      </w:r>
      <w:r w:rsidRPr="00DE63D0">
        <w:rPr>
          <w:i/>
        </w:rPr>
        <w:t>Pay TV</w:t>
      </w:r>
      <w:r w:rsidRPr="00DE63D0">
        <w:t xml:space="preserve"> possa sustentar ofertas competitivas a clientes finais.</w:t>
      </w:r>
    </w:p>
    <w:p w:rsidR="00492960" w:rsidRPr="00DE63D0" w:rsidRDefault="00492960" w:rsidP="003257D7">
      <w:r>
        <w:t>Para além de assentar no vasto conhecimento e experiência dos seus Associados, no mercado em questão, esta posição da APRITEL está, em muitos aspectos, suportada nas conclusões de um estudo específico sobre esta vasta matéria, levado a cabo por uma consultora independente e de relevante prestígio nacional</w:t>
      </w:r>
      <w:r w:rsidRPr="00DE63D0">
        <w:rPr>
          <w:rStyle w:val="FootnoteReference"/>
        </w:rPr>
        <w:footnoteReference w:id="1"/>
      </w:r>
      <w:r w:rsidRPr="00DE63D0">
        <w:t>.</w:t>
      </w:r>
    </w:p>
    <w:p w:rsidR="00492960" w:rsidRPr="00DE63D0" w:rsidRDefault="00492960" w:rsidP="003257D7">
      <w:pPr>
        <w:pStyle w:val="Heading1"/>
        <w:ind w:left="567" w:hanging="567"/>
      </w:pPr>
      <w:bookmarkStart w:id="3" w:name="_Toc281502706"/>
      <w:bookmarkStart w:id="4" w:name="_Toc282544679"/>
      <w:bookmarkStart w:id="5" w:name="_Toc282544796"/>
      <w:bookmarkStart w:id="6" w:name="_Toc279421173"/>
      <w:bookmarkEnd w:id="3"/>
      <w:r w:rsidRPr="00DE63D0">
        <w:t>Enquadramento</w:t>
      </w:r>
      <w:bookmarkEnd w:id="4"/>
      <w:bookmarkEnd w:id="5"/>
    </w:p>
    <w:p w:rsidR="00492960" w:rsidRPr="00DE63D0" w:rsidRDefault="00492960" w:rsidP="003257D7">
      <w:pPr>
        <w:rPr>
          <w:rFonts w:cs="Arial"/>
          <w:bCs/>
          <w:szCs w:val="22"/>
        </w:rPr>
      </w:pPr>
      <w:r w:rsidRPr="00DE63D0">
        <w:rPr>
          <w:rFonts w:cs="Arial"/>
          <w:bCs/>
          <w:szCs w:val="22"/>
        </w:rPr>
        <w:t>A APRITEL constitui-se como uma Associação aberta e representativa de todos os agentes económicos do sector das Comunicações Electrónicas, tendo por missão promover o desenvolvimento de um ambiente legal e regulamentar favorável ao investimento no sector das comunicações electrónicas e contribuir para o desenvolvimento da Sociedade de Informação.</w:t>
      </w:r>
    </w:p>
    <w:p w:rsidR="00492960" w:rsidRPr="00DE63D0" w:rsidRDefault="00492960" w:rsidP="003257D7">
      <w:pPr>
        <w:rPr>
          <w:rFonts w:cs="Arial"/>
          <w:bCs/>
          <w:szCs w:val="22"/>
        </w:rPr>
      </w:pPr>
      <w:r w:rsidRPr="00DE63D0">
        <w:rPr>
          <w:rFonts w:cs="Arial"/>
          <w:bCs/>
          <w:szCs w:val="22"/>
        </w:rPr>
        <w:t xml:space="preserve">Estamos a assistir a uma mudança de paradigma na relação entre os consumidores e os serviços de comunicações electrónicas, em que, todos o reconhecemos, </w:t>
      </w:r>
      <w:r w:rsidRPr="00DE63D0" w:rsidDel="00E70CDB">
        <w:rPr>
          <w:rFonts w:cs="Arial"/>
          <w:bCs/>
          <w:szCs w:val="22"/>
        </w:rPr>
        <w:t>a</w:t>
      </w:r>
      <w:r w:rsidRPr="00DE63D0">
        <w:rPr>
          <w:rFonts w:cs="Arial"/>
          <w:bCs/>
          <w:szCs w:val="22"/>
        </w:rPr>
        <w:t xml:space="preserve"> </w:t>
      </w:r>
      <w:r w:rsidRPr="00DE63D0">
        <w:rPr>
          <w:rFonts w:cs="Arial"/>
          <w:bCs/>
          <w:i/>
          <w:szCs w:val="22"/>
        </w:rPr>
        <w:t>Pay TV</w:t>
      </w:r>
      <w:r w:rsidRPr="00DE63D0">
        <w:rPr>
          <w:rFonts w:cs="Arial"/>
          <w:bCs/>
          <w:szCs w:val="22"/>
        </w:rPr>
        <w:t xml:space="preserve"> e os diversos serviços conexos (V</w:t>
      </w:r>
      <w:r>
        <w:rPr>
          <w:rFonts w:cs="Arial"/>
          <w:bCs/>
          <w:szCs w:val="22"/>
        </w:rPr>
        <w:t xml:space="preserve">ideo On Demand, </w:t>
      </w:r>
      <w:r w:rsidRPr="00DE63D0">
        <w:rPr>
          <w:rFonts w:cs="Arial"/>
          <w:bCs/>
          <w:szCs w:val="22"/>
        </w:rPr>
        <w:t>S</w:t>
      </w:r>
      <w:r>
        <w:rPr>
          <w:rFonts w:cs="Arial"/>
          <w:bCs/>
          <w:szCs w:val="22"/>
        </w:rPr>
        <w:t xml:space="preserve">ubscription </w:t>
      </w:r>
      <w:r w:rsidRPr="00DE63D0">
        <w:rPr>
          <w:rFonts w:cs="Arial"/>
          <w:bCs/>
          <w:szCs w:val="22"/>
        </w:rPr>
        <w:t>V</w:t>
      </w:r>
      <w:r>
        <w:rPr>
          <w:rFonts w:cs="Arial"/>
          <w:bCs/>
          <w:szCs w:val="22"/>
        </w:rPr>
        <w:t xml:space="preserve">ideo </w:t>
      </w:r>
      <w:r w:rsidRPr="00DE63D0">
        <w:rPr>
          <w:rFonts w:cs="Arial"/>
          <w:bCs/>
          <w:szCs w:val="22"/>
        </w:rPr>
        <w:t>O</w:t>
      </w:r>
      <w:r>
        <w:rPr>
          <w:rFonts w:cs="Arial"/>
          <w:bCs/>
          <w:szCs w:val="22"/>
        </w:rPr>
        <w:t xml:space="preserve">n </w:t>
      </w:r>
      <w:r w:rsidRPr="00DE63D0">
        <w:rPr>
          <w:rFonts w:cs="Arial"/>
          <w:bCs/>
          <w:szCs w:val="22"/>
        </w:rPr>
        <w:t>D</w:t>
      </w:r>
      <w:r>
        <w:rPr>
          <w:rFonts w:cs="Arial"/>
          <w:bCs/>
          <w:szCs w:val="22"/>
        </w:rPr>
        <w:t>emand</w:t>
      </w:r>
      <w:r w:rsidRPr="00DE63D0">
        <w:rPr>
          <w:rFonts w:cs="Arial"/>
          <w:bCs/>
          <w:szCs w:val="22"/>
        </w:rPr>
        <w:t>, P</w:t>
      </w:r>
      <w:r>
        <w:rPr>
          <w:rFonts w:cs="Arial"/>
          <w:bCs/>
          <w:szCs w:val="22"/>
        </w:rPr>
        <w:t xml:space="preserve">ay </w:t>
      </w:r>
      <w:r w:rsidRPr="00DE63D0">
        <w:rPr>
          <w:rFonts w:cs="Arial"/>
          <w:bCs/>
          <w:szCs w:val="22"/>
        </w:rPr>
        <w:t>P</w:t>
      </w:r>
      <w:r>
        <w:rPr>
          <w:rFonts w:cs="Arial"/>
          <w:bCs/>
          <w:szCs w:val="22"/>
        </w:rPr>
        <w:t xml:space="preserve">er </w:t>
      </w:r>
      <w:r w:rsidRPr="00DE63D0">
        <w:rPr>
          <w:rFonts w:cs="Arial"/>
          <w:bCs/>
          <w:szCs w:val="22"/>
        </w:rPr>
        <w:t>V</w:t>
      </w:r>
      <w:r>
        <w:rPr>
          <w:rFonts w:cs="Arial"/>
          <w:bCs/>
          <w:szCs w:val="22"/>
        </w:rPr>
        <w:t>iew</w:t>
      </w:r>
      <w:r w:rsidRPr="00DE63D0">
        <w:rPr>
          <w:rFonts w:cs="Arial"/>
          <w:bCs/>
          <w:szCs w:val="22"/>
        </w:rPr>
        <w:t>, E</w:t>
      </w:r>
      <w:r>
        <w:rPr>
          <w:rFonts w:cs="Arial"/>
          <w:bCs/>
          <w:szCs w:val="22"/>
        </w:rPr>
        <w:t xml:space="preserve">lectronic </w:t>
      </w:r>
      <w:r w:rsidRPr="00DE63D0">
        <w:rPr>
          <w:rFonts w:cs="Arial"/>
          <w:bCs/>
          <w:szCs w:val="22"/>
        </w:rPr>
        <w:t>P</w:t>
      </w:r>
      <w:r>
        <w:rPr>
          <w:rFonts w:cs="Arial"/>
          <w:bCs/>
          <w:szCs w:val="22"/>
        </w:rPr>
        <w:t xml:space="preserve">rogram </w:t>
      </w:r>
      <w:r w:rsidRPr="00DE63D0">
        <w:rPr>
          <w:rFonts w:cs="Arial"/>
          <w:bCs/>
          <w:szCs w:val="22"/>
        </w:rPr>
        <w:t>G</w:t>
      </w:r>
      <w:r>
        <w:rPr>
          <w:rFonts w:cs="Arial"/>
          <w:bCs/>
          <w:szCs w:val="22"/>
        </w:rPr>
        <w:t>uide</w:t>
      </w:r>
      <w:r w:rsidRPr="00DE63D0">
        <w:rPr>
          <w:rFonts w:cs="Arial"/>
          <w:bCs/>
          <w:szCs w:val="22"/>
        </w:rPr>
        <w:t>) têm vindo a assumir um papel cada vez mais preponderante</w:t>
      </w:r>
      <w:r w:rsidRPr="000471FB">
        <w:rPr>
          <w:rFonts w:cs="Arial"/>
          <w:bCs/>
          <w:szCs w:val="22"/>
        </w:rPr>
        <w:t xml:space="preserve"> </w:t>
      </w:r>
      <w:r w:rsidRPr="006903C7">
        <w:rPr>
          <w:rFonts w:cs="Arial"/>
          <w:bCs/>
          <w:szCs w:val="22"/>
        </w:rPr>
        <w:t>no desenvolvimento do mercado das comunicações electrónicas</w:t>
      </w:r>
      <w:r>
        <w:rPr>
          <w:rFonts w:cs="Arial"/>
          <w:bCs/>
          <w:szCs w:val="22"/>
        </w:rPr>
        <w:t>.</w:t>
      </w:r>
      <w:r w:rsidRPr="006903C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A </w:t>
      </w:r>
      <w:r w:rsidRPr="007E2239">
        <w:rPr>
          <w:rFonts w:cs="Arial"/>
          <w:bCs/>
          <w:i/>
          <w:szCs w:val="22"/>
        </w:rPr>
        <w:t>Pay TV</w:t>
      </w:r>
      <w:r>
        <w:rPr>
          <w:rFonts w:cs="Arial"/>
          <w:bCs/>
          <w:szCs w:val="22"/>
        </w:rPr>
        <w:t xml:space="preserve"> c</w:t>
      </w:r>
      <w:r w:rsidRPr="006903C7">
        <w:rPr>
          <w:rFonts w:cs="Arial"/>
          <w:bCs/>
          <w:szCs w:val="22"/>
        </w:rPr>
        <w:t xml:space="preserve">onstitui-se como </w:t>
      </w:r>
      <w:r>
        <w:rPr>
          <w:rFonts w:cs="Arial"/>
          <w:bCs/>
          <w:szCs w:val="22"/>
        </w:rPr>
        <w:t>um dos</w:t>
      </w:r>
      <w:r w:rsidRPr="006903C7">
        <w:rPr>
          <w:rFonts w:cs="Arial"/>
          <w:bCs/>
          <w:szCs w:val="22"/>
        </w:rPr>
        <w:t xml:space="preserve"> principa</w:t>
      </w:r>
      <w:r>
        <w:rPr>
          <w:rFonts w:cs="Arial"/>
          <w:bCs/>
          <w:szCs w:val="22"/>
        </w:rPr>
        <w:t>is</w:t>
      </w:r>
      <w:r w:rsidRPr="006903C7">
        <w:rPr>
          <w:rFonts w:cs="Arial"/>
          <w:bCs/>
          <w:szCs w:val="22"/>
        </w:rPr>
        <w:t xml:space="preserve"> </w:t>
      </w:r>
      <w:r w:rsidRPr="00D128FA">
        <w:rPr>
          <w:rFonts w:cs="Arial"/>
          <w:bCs/>
          <w:i/>
          <w:szCs w:val="22"/>
        </w:rPr>
        <w:t>driver</w:t>
      </w:r>
      <w:r>
        <w:rPr>
          <w:rFonts w:cs="Arial"/>
          <w:bCs/>
          <w:i/>
          <w:szCs w:val="22"/>
        </w:rPr>
        <w:t>s</w:t>
      </w:r>
      <w:r w:rsidRPr="006903C7">
        <w:rPr>
          <w:rFonts w:cs="Arial"/>
          <w:bCs/>
          <w:szCs w:val="22"/>
        </w:rPr>
        <w:t xml:space="preserve"> de crescimento dos operadores, que têm </w:t>
      </w:r>
      <w:r>
        <w:rPr>
          <w:rFonts w:cs="Arial"/>
          <w:bCs/>
          <w:szCs w:val="22"/>
        </w:rPr>
        <w:t xml:space="preserve">procurado </w:t>
      </w:r>
      <w:r w:rsidRPr="00DE63D0">
        <w:rPr>
          <w:rFonts w:cs="Arial"/>
          <w:bCs/>
          <w:szCs w:val="22"/>
        </w:rPr>
        <w:t>diferenciar as respectivas ofertas, através da incorporação de diferentes conteúdos televisivos e da disponibilização e do acesso a funcionalidades suportadas nas várias plataformas tecnológicas.</w:t>
      </w:r>
    </w:p>
    <w:p w:rsidR="00492960" w:rsidRPr="00DE63D0" w:rsidRDefault="00492960" w:rsidP="003257D7">
      <w:pPr>
        <w:rPr>
          <w:rFonts w:cs="Arial"/>
          <w:bCs/>
          <w:szCs w:val="22"/>
        </w:rPr>
      </w:pPr>
      <w:r w:rsidRPr="00DE63D0">
        <w:rPr>
          <w:rFonts w:cs="Arial"/>
          <w:bCs/>
          <w:szCs w:val="22"/>
        </w:rPr>
        <w:t xml:space="preserve">Os conteúdos assumem um papel fundamental em qualquer oferta de </w:t>
      </w:r>
      <w:r w:rsidRPr="00DE63D0">
        <w:rPr>
          <w:rFonts w:cs="Arial"/>
          <w:bCs/>
          <w:i/>
          <w:szCs w:val="22"/>
        </w:rPr>
        <w:t>Pay TV</w:t>
      </w:r>
      <w:r w:rsidRPr="00DE63D0">
        <w:rPr>
          <w:rFonts w:cs="Arial"/>
          <w:bCs/>
          <w:szCs w:val="22"/>
        </w:rPr>
        <w:t>, enquanto peça essencial na abordagem ao mercado, garantindo a adesão dos consumidores às estratégias dos operadores e, consequentemente, a sustentabilidade económica dos seus investimentos.</w:t>
      </w:r>
    </w:p>
    <w:p w:rsidR="00492960" w:rsidRDefault="00492960" w:rsidP="00410F40">
      <w:pPr>
        <w:rPr>
          <w:rFonts w:cs="Arial"/>
          <w:bCs/>
          <w:szCs w:val="22"/>
        </w:rPr>
      </w:pPr>
      <w:r w:rsidRPr="008F7A51">
        <w:rPr>
          <w:rFonts w:cs="Arial"/>
          <w:bCs/>
          <w:szCs w:val="22"/>
        </w:rPr>
        <w:t>Num contexto competitivo e de forte mudança nas redes e serviços de comunicações electrónicas, o acesso aos conteúdos</w:t>
      </w:r>
      <w:r>
        <w:rPr>
          <w:rFonts w:cs="Arial"/>
          <w:bCs/>
          <w:szCs w:val="22"/>
        </w:rPr>
        <w:t>, tal como às infra-estruturas essenciais,</w:t>
      </w:r>
      <w:r w:rsidRPr="008F7A51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surg</w:t>
      </w:r>
      <w:r w:rsidRPr="008F7A51">
        <w:rPr>
          <w:rFonts w:cs="Arial"/>
          <w:bCs/>
          <w:szCs w:val="22"/>
        </w:rPr>
        <w:t xml:space="preserve">e como uma das peças importantes para o sucesso das ofertas dos vários operadores, pelo que é indispensável que existam condições transparentes, razoáveis e não discriminatórias no acesso aos conteúdos para </w:t>
      </w:r>
      <w:r w:rsidRPr="008F7A51">
        <w:rPr>
          <w:rFonts w:cs="Arial"/>
          <w:bCs/>
          <w:i/>
          <w:szCs w:val="22"/>
        </w:rPr>
        <w:t>Pay TV</w:t>
      </w:r>
      <w:r>
        <w:rPr>
          <w:rFonts w:cs="Arial"/>
          <w:bCs/>
          <w:szCs w:val="22"/>
        </w:rPr>
        <w:t xml:space="preserve">, para garantir </w:t>
      </w:r>
      <w:r w:rsidRPr="008F7A51">
        <w:rPr>
          <w:rFonts w:cs="Arial"/>
          <w:bCs/>
          <w:szCs w:val="22"/>
        </w:rPr>
        <w:t>o seu são funcionamento</w:t>
      </w:r>
      <w:r>
        <w:rPr>
          <w:rFonts w:cs="Arial"/>
          <w:bCs/>
          <w:szCs w:val="22"/>
        </w:rPr>
        <w:t>.</w:t>
      </w:r>
    </w:p>
    <w:p w:rsidR="00492960" w:rsidRPr="00DE63D0" w:rsidRDefault="00492960" w:rsidP="003257D7">
      <w:pPr>
        <w:rPr>
          <w:rFonts w:cs="Arial"/>
          <w:bCs/>
        </w:rPr>
      </w:pPr>
      <w:r>
        <w:rPr>
          <w:rFonts w:cs="Arial"/>
          <w:bCs/>
        </w:rPr>
        <w:t>No contexto</w:t>
      </w:r>
      <w:r w:rsidRPr="00DE63D0">
        <w:rPr>
          <w:rFonts w:cs="Arial"/>
          <w:bCs/>
        </w:rPr>
        <w:t xml:space="preserve"> acima descrito, e atendendo à importância que o tema do acesso a conteúdos televisivos tem vindo a assumir, a APRITEL promoveu e patrocinou a realização de um </w:t>
      </w:r>
      <w:r w:rsidRPr="00DE63D0">
        <w:rPr>
          <w:rFonts w:cs="Arial"/>
        </w:rPr>
        <w:t xml:space="preserve">estudo sobre </w:t>
      </w:r>
      <w:r w:rsidRPr="00DE63D0">
        <w:rPr>
          <w:rFonts w:cs="Arial"/>
          <w:bCs/>
        </w:rPr>
        <w:t xml:space="preserve">acesso a conteúdos no mercado de </w:t>
      </w:r>
      <w:r w:rsidRPr="00DE63D0">
        <w:rPr>
          <w:rFonts w:cs="Arial"/>
          <w:bCs/>
          <w:i/>
        </w:rPr>
        <w:t>Pay TV</w:t>
      </w:r>
      <w:r w:rsidRPr="00DE63D0">
        <w:rPr>
          <w:rFonts w:cs="Arial"/>
          <w:bCs/>
        </w:rPr>
        <w:t xml:space="preserve"> (“Estudo de acesso a conteúdos no mercado de pay-tv”).</w:t>
      </w:r>
    </w:p>
    <w:p w:rsidR="00492960" w:rsidRPr="00DE63D0" w:rsidRDefault="00492960" w:rsidP="003257D7">
      <w:pPr>
        <w:rPr>
          <w:rFonts w:cs="Arial"/>
        </w:rPr>
      </w:pPr>
      <w:r w:rsidRPr="00DE63D0">
        <w:rPr>
          <w:rFonts w:cs="Arial"/>
        </w:rPr>
        <w:t xml:space="preserve">Este estudo teve como objectivo principal aferir o impacto do acesso a conteúdos para televisão no posicionamento competitivo dos operadores de comunicações electrónicas, a operar no mercado nacional, avaliando os constrangimentos no acesso aos conteúdos televisivos. Como ponto de partida do estudo, tomaram-se as informações reportadas pelos operadores, no âmbito do acesso a conteúdos para construção das suas ofertas de </w:t>
      </w:r>
      <w:r w:rsidRPr="00DE63D0">
        <w:rPr>
          <w:rFonts w:cs="Arial"/>
          <w:i/>
        </w:rPr>
        <w:t>Pay TV</w:t>
      </w:r>
      <w:r w:rsidRPr="00DE63D0">
        <w:rPr>
          <w:rFonts w:cs="Arial"/>
        </w:rPr>
        <w:t>.</w:t>
      </w:r>
    </w:p>
    <w:p w:rsidR="00492960" w:rsidRDefault="00492960" w:rsidP="003257D7">
      <w:pPr>
        <w:rPr>
          <w:rFonts w:cs="Arial"/>
        </w:rPr>
      </w:pPr>
      <w:r>
        <w:rPr>
          <w:rFonts w:cs="Arial"/>
        </w:rPr>
        <w:t xml:space="preserve">Este estudo não teve a pretensão de ser exaustivo na análise de todos os grandes temas estruturantes da competitividade dos </w:t>
      </w:r>
      <w:r w:rsidRPr="00026777">
        <w:rPr>
          <w:rFonts w:cs="Arial"/>
          <w:i/>
        </w:rPr>
        <w:t>players</w:t>
      </w:r>
      <w:r>
        <w:rPr>
          <w:rFonts w:cs="Arial"/>
        </w:rPr>
        <w:t xml:space="preserve"> no mercado dos conteúdos. Em particular, o estudo limitou-se à análise</w:t>
      </w:r>
      <w:r w:rsidRPr="00DE63D0">
        <w:rPr>
          <w:rFonts w:cs="Arial"/>
        </w:rPr>
        <w:t xml:space="preserve">, em mais detalhe, </w:t>
      </w:r>
      <w:r>
        <w:rPr>
          <w:rFonts w:cs="Arial"/>
        </w:rPr>
        <w:t xml:space="preserve">de </w:t>
      </w:r>
      <w:r w:rsidRPr="00DE63D0">
        <w:rPr>
          <w:rFonts w:cs="Arial"/>
        </w:rPr>
        <w:t>algumas condições de acesso aos canais Sport TV, TV Cine, Benfica TV, TVI 24, TVI, Disney e aos Canais Multicanal (Panda, Panda Biggs, Odisseia e Hollywood)</w:t>
      </w:r>
      <w:r>
        <w:rPr>
          <w:rFonts w:cs="Arial"/>
        </w:rPr>
        <w:t xml:space="preserve">, sem prejuízo de existirem outros conteúdos que merecem vir a ser analisados, nomeadamente outros canais de </w:t>
      </w:r>
      <w:r w:rsidRPr="00E6518C">
        <w:rPr>
          <w:rFonts w:cs="Arial"/>
          <w:i/>
        </w:rPr>
        <w:t>Pay TV</w:t>
      </w:r>
      <w:r>
        <w:rPr>
          <w:rFonts w:cs="Arial"/>
        </w:rPr>
        <w:t xml:space="preserve"> como os canais da Sony, da Fox, da MTV, da SIC e da RTP sobre os quais também se poderão aplicar as conclusões deste estudo.</w:t>
      </w:r>
    </w:p>
    <w:p w:rsidR="00492960" w:rsidRPr="00DE63D0" w:rsidRDefault="00492960" w:rsidP="003257D7">
      <w:pPr>
        <w:rPr>
          <w:rFonts w:cs="Arial"/>
        </w:rPr>
      </w:pPr>
      <w:r w:rsidRPr="00DE63D0">
        <w:rPr>
          <w:rFonts w:cs="Arial"/>
        </w:rPr>
        <w:t>Neste estudo, identificaram-se, ainda, as opções com potencial para contribuir para a eliminação de tais constrangimentos, quer no actual modelo regulatório, quer num modelo regulatório ajustado à convergência entre as comunicações electrónicas e os media.</w:t>
      </w:r>
    </w:p>
    <w:p w:rsidR="00492960" w:rsidRPr="00DE63D0" w:rsidRDefault="00492960">
      <w:pPr>
        <w:pStyle w:val="Heading1"/>
      </w:pPr>
      <w:bookmarkStart w:id="7" w:name="_Toc282544680"/>
      <w:bookmarkStart w:id="8" w:name="_Toc282544797"/>
      <w:r w:rsidRPr="00DE63D0">
        <w:t>Principais conclusões relevantes</w:t>
      </w:r>
      <w:bookmarkEnd w:id="7"/>
      <w:bookmarkEnd w:id="8"/>
    </w:p>
    <w:p w:rsidR="00492960" w:rsidRPr="008D0253" w:rsidRDefault="00492960" w:rsidP="008D0253">
      <w:pPr>
        <w:pStyle w:val="Preponto"/>
        <w:rPr>
          <w:lang w:val="pt-PT"/>
        </w:rPr>
      </w:pPr>
      <w:r w:rsidRPr="008D0253">
        <w:rPr>
          <w:lang w:val="pt-PT"/>
        </w:rPr>
        <w:t xml:space="preserve">No que se refere à relevância da </w:t>
      </w:r>
      <w:r w:rsidRPr="008D0253">
        <w:rPr>
          <w:i/>
          <w:lang w:val="pt-PT"/>
        </w:rPr>
        <w:t>Pay TV</w:t>
      </w:r>
      <w:r w:rsidRPr="008D0253">
        <w:rPr>
          <w:lang w:val="pt-PT"/>
        </w:rPr>
        <w:t xml:space="preserve"> e dos conteúdos televisivos no mercado das comunicações:</w:t>
      </w:r>
    </w:p>
    <w:p w:rsidR="00492960" w:rsidRPr="00FD4EBC" w:rsidRDefault="00492960" w:rsidP="00FD4EBC">
      <w:pPr>
        <w:pStyle w:val="Ponto"/>
        <w:ind w:hanging="436"/>
      </w:pPr>
      <w:r w:rsidRPr="00FD4EBC">
        <w:t>A Pay TV é relevante para o posicionamento competitivo dos operadores e os conteúdos de televisão são determinantes para a competitividade da oferta de Pay TV de cada um dos operadores;</w:t>
      </w:r>
    </w:p>
    <w:p w:rsidR="00492960" w:rsidRPr="008D0253" w:rsidRDefault="00492960" w:rsidP="00FD4EBC">
      <w:pPr>
        <w:pStyle w:val="Ponto"/>
        <w:ind w:hanging="436"/>
      </w:pPr>
      <w:r w:rsidRPr="008D0253">
        <w:t>Os Bundles de serviços que incluem Pay TV são, actualmente, a oferta com maior sucesso, sendo possível encontrar as maiores taxas de crescimento do mercado de comunicações electrónicas nas ofertas em bundle (double e, especialmente, triple-play) que incluem Pay TV;</w:t>
      </w:r>
    </w:p>
    <w:p w:rsidR="00492960" w:rsidRPr="00DE63D0" w:rsidRDefault="00492960" w:rsidP="00FD4EBC">
      <w:pPr>
        <w:pStyle w:val="Ponto"/>
        <w:ind w:hanging="436"/>
      </w:pPr>
      <w:r w:rsidRPr="00DE63D0">
        <w:t xml:space="preserve">Os conteúdos incluídos nas ofertas de </w:t>
      </w:r>
      <w:r w:rsidRPr="00DE63D0">
        <w:rPr>
          <w:i/>
          <w:iCs/>
        </w:rPr>
        <w:t>Pay TV</w:t>
      </w:r>
      <w:r w:rsidRPr="00DE63D0">
        <w:rPr>
          <w:iCs/>
        </w:rPr>
        <w:t xml:space="preserve"> </w:t>
      </w:r>
      <w:r w:rsidRPr="00DE63D0">
        <w:t xml:space="preserve">de cada um dos operadores são relativamente homogéneos (embora existam algumas diferenças ao nível dos canais </w:t>
      </w:r>
      <w:r>
        <w:rPr>
          <w:i/>
        </w:rPr>
        <w:t>P</w:t>
      </w:r>
      <w:r w:rsidRPr="00DE63D0">
        <w:rPr>
          <w:i/>
        </w:rPr>
        <w:t xml:space="preserve">remium, </w:t>
      </w:r>
      <w:r>
        <w:t xml:space="preserve">canais </w:t>
      </w:r>
      <w:r w:rsidRPr="00DE63D0">
        <w:t xml:space="preserve">HD e canais exclusivos). </w:t>
      </w:r>
      <w:r>
        <w:t>A</w:t>
      </w:r>
      <w:r w:rsidRPr="00DE63D0">
        <w:t>s principais diferenças verificam-se ao nível do leque de preços disponível, cobertura geográfica da oferta e funcionalidades disponibilizadas aos consumidores;</w:t>
      </w:r>
    </w:p>
    <w:p w:rsidR="00492960" w:rsidRPr="00DE63D0" w:rsidRDefault="00492960" w:rsidP="00FD4EBC">
      <w:pPr>
        <w:pStyle w:val="Ponto"/>
        <w:ind w:hanging="436"/>
      </w:pPr>
      <w:r w:rsidRPr="00E70CDB">
        <w:rPr>
          <w:iCs/>
        </w:rPr>
        <w:t>Os cont</w:t>
      </w:r>
      <w:r w:rsidRPr="00E70CDB">
        <w:t>eúdo</w:t>
      </w:r>
      <w:r w:rsidRPr="00DE63D0">
        <w:t>s têm relevância</w:t>
      </w:r>
      <w:r>
        <w:t xml:space="preserve"> </w:t>
      </w:r>
      <w:r w:rsidRPr="00DE63D0">
        <w:t xml:space="preserve">na rentabilidade </w:t>
      </w:r>
      <w:r>
        <w:t>deste</w:t>
      </w:r>
      <w:r w:rsidRPr="00DE63D0">
        <w:t xml:space="preserve"> </w:t>
      </w:r>
      <w:r>
        <w:t>serviço</w:t>
      </w:r>
      <w:r>
        <w:rPr>
          <w:iCs/>
        </w:rPr>
        <w:t xml:space="preserve">, já que </w:t>
      </w:r>
      <w:r w:rsidRPr="00DE63D0">
        <w:t xml:space="preserve">os custos de programação </w:t>
      </w:r>
      <w:r>
        <w:t xml:space="preserve">podem ser elevados para alguns operadores, podendo ter implicações na margem do </w:t>
      </w:r>
      <w:r w:rsidRPr="008F7A51">
        <w:rPr>
          <w:i/>
        </w:rPr>
        <w:t>Pay TV</w:t>
      </w:r>
      <w:r>
        <w:t xml:space="preserve"> desses operadores</w:t>
      </w:r>
      <w:r w:rsidRPr="00DE63D0">
        <w:t>;</w:t>
      </w:r>
    </w:p>
    <w:p w:rsidR="00492960" w:rsidRPr="00DE63D0" w:rsidRDefault="00492960" w:rsidP="00FD4EBC">
      <w:pPr>
        <w:pStyle w:val="Ponto"/>
        <w:ind w:hanging="436"/>
      </w:pPr>
      <w:r w:rsidRPr="00DE63D0">
        <w:t xml:space="preserve">Na perspectiva do cliente, existem conteúdos sem os quais a viabilidade da oferta de </w:t>
      </w:r>
      <w:r w:rsidRPr="00DE63D0">
        <w:rPr>
          <w:i/>
        </w:rPr>
        <w:t>Pay TV</w:t>
      </w:r>
      <w:r w:rsidRPr="00DE63D0">
        <w:t xml:space="preserve"> é colocada em causa:</w:t>
      </w:r>
    </w:p>
    <w:p w:rsidR="00492960" w:rsidRPr="00DE63D0" w:rsidRDefault="00492960" w:rsidP="003257D7">
      <w:pPr>
        <w:numPr>
          <w:ilvl w:val="0"/>
          <w:numId w:val="17"/>
        </w:numPr>
        <w:spacing w:after="0"/>
        <w:ind w:left="1134" w:hanging="425"/>
        <w:rPr>
          <w:rFonts w:cs="Arial"/>
        </w:rPr>
      </w:pPr>
      <w:r>
        <w:rPr>
          <w:rFonts w:cs="Arial"/>
        </w:rPr>
        <w:t>O</w:t>
      </w:r>
      <w:r w:rsidRPr="00DE63D0">
        <w:rPr>
          <w:rFonts w:cs="Arial"/>
        </w:rPr>
        <w:t xml:space="preserve">s conteúdos </w:t>
      </w:r>
      <w:r>
        <w:rPr>
          <w:rFonts w:cs="Arial"/>
        </w:rPr>
        <w:t xml:space="preserve">informativos, </w:t>
      </w:r>
      <w:r w:rsidRPr="00DE63D0">
        <w:rPr>
          <w:rFonts w:cs="Arial"/>
        </w:rPr>
        <w:t>desportivos e cinematográficos são os mais valorizados pelos clientes;</w:t>
      </w:r>
    </w:p>
    <w:p w:rsidR="00492960" w:rsidRPr="00DE63D0" w:rsidRDefault="00492960" w:rsidP="003257D7">
      <w:pPr>
        <w:numPr>
          <w:ilvl w:val="0"/>
          <w:numId w:val="17"/>
        </w:numPr>
        <w:spacing w:after="0"/>
        <w:ind w:left="1134" w:hanging="425"/>
        <w:rPr>
          <w:rFonts w:cs="Arial"/>
        </w:rPr>
      </w:pPr>
      <w:r w:rsidRPr="00DE63D0">
        <w:rPr>
          <w:rFonts w:cs="Arial"/>
        </w:rPr>
        <w:t xml:space="preserve">Os conteúdos infantis são também relevantes no contexto de </w:t>
      </w:r>
      <w:r w:rsidRPr="00DE63D0">
        <w:rPr>
          <w:rFonts w:cs="Arial"/>
          <w:i/>
          <w:iCs/>
        </w:rPr>
        <w:t>Pay TV</w:t>
      </w:r>
      <w:r w:rsidRPr="00DE63D0">
        <w:rPr>
          <w:rFonts w:cs="Arial"/>
        </w:rPr>
        <w:t>, representando um segmento de mercado de elevada importância.</w:t>
      </w:r>
    </w:p>
    <w:p w:rsidR="00492960" w:rsidRPr="00DE63D0" w:rsidRDefault="00492960" w:rsidP="00FD4EBC">
      <w:pPr>
        <w:pStyle w:val="Ponto"/>
        <w:ind w:hanging="436"/>
      </w:pPr>
      <w:r w:rsidRPr="00DE63D0">
        <w:t xml:space="preserve">Embora o acesso aos conteúdos para televisão esteja, em geral, assegurado, </w:t>
      </w:r>
      <w:r>
        <w:t>existem</w:t>
      </w:r>
      <w:r w:rsidRPr="00DE63D0">
        <w:t xml:space="preserve"> características </w:t>
      </w:r>
      <w:r>
        <w:t xml:space="preserve">nas ofertas dos fornecedores de conteúdos </w:t>
      </w:r>
      <w:r w:rsidRPr="00DE63D0">
        <w:t xml:space="preserve">que </w:t>
      </w:r>
      <w:r>
        <w:t xml:space="preserve">podem determinar </w:t>
      </w:r>
      <w:r w:rsidRPr="00DE63D0">
        <w:t>a existência de barreiras no acesso a conteúdos televisivos:</w:t>
      </w:r>
    </w:p>
    <w:p w:rsidR="00492960" w:rsidRPr="00DE63D0" w:rsidRDefault="00492960" w:rsidP="003257D7">
      <w:pPr>
        <w:numPr>
          <w:ilvl w:val="0"/>
          <w:numId w:val="18"/>
        </w:numPr>
        <w:spacing w:after="0"/>
        <w:ind w:left="1134" w:hanging="425"/>
        <w:rPr>
          <w:rFonts w:cs="Arial"/>
        </w:rPr>
      </w:pPr>
      <w:r w:rsidRPr="00DE63D0">
        <w:rPr>
          <w:rFonts w:cs="Arial"/>
        </w:rPr>
        <w:t xml:space="preserve">O poder negocial de alguns fornecedores de conteúdos foi identificado como uma barreira </w:t>
      </w:r>
      <w:r>
        <w:rPr>
          <w:rFonts w:cs="Arial"/>
        </w:rPr>
        <w:t xml:space="preserve">com impacto </w:t>
      </w:r>
      <w:r w:rsidRPr="00DE63D0">
        <w:rPr>
          <w:rFonts w:cs="Arial"/>
        </w:rPr>
        <w:t>nas negociações;</w:t>
      </w:r>
    </w:p>
    <w:p w:rsidR="00492960" w:rsidRPr="00DE63D0" w:rsidRDefault="00492960" w:rsidP="003257D7">
      <w:pPr>
        <w:numPr>
          <w:ilvl w:val="0"/>
          <w:numId w:val="18"/>
        </w:numPr>
        <w:spacing w:after="0"/>
        <w:ind w:left="1134" w:hanging="425"/>
        <w:rPr>
          <w:rFonts w:cs="Arial"/>
        </w:rPr>
      </w:pPr>
      <w:r w:rsidRPr="00DE63D0">
        <w:rPr>
          <w:rFonts w:cs="Arial"/>
        </w:rPr>
        <w:t>A limitação na distribuição de alguns canais é identificada como tendo impacto na escolha do operador pelos consumidores;</w:t>
      </w:r>
    </w:p>
    <w:p w:rsidR="00492960" w:rsidRPr="00DE63D0" w:rsidRDefault="00492960" w:rsidP="003257D7">
      <w:pPr>
        <w:numPr>
          <w:ilvl w:val="0"/>
          <w:numId w:val="18"/>
        </w:numPr>
        <w:spacing w:after="0"/>
        <w:ind w:left="1134" w:hanging="425"/>
        <w:rPr>
          <w:rFonts w:cs="Arial"/>
        </w:rPr>
      </w:pPr>
      <w:r w:rsidRPr="00DE63D0">
        <w:rPr>
          <w:rFonts w:cs="Arial"/>
        </w:rPr>
        <w:t xml:space="preserve">O modelo de </w:t>
      </w:r>
      <w:r w:rsidRPr="00DE63D0">
        <w:rPr>
          <w:rFonts w:cs="Arial"/>
          <w:i/>
          <w:iCs/>
        </w:rPr>
        <w:t xml:space="preserve">pricing </w:t>
      </w:r>
      <w:r w:rsidRPr="00DE63D0">
        <w:rPr>
          <w:rFonts w:cs="Arial"/>
        </w:rPr>
        <w:t>grossista d</w:t>
      </w:r>
      <w:r>
        <w:rPr>
          <w:rFonts w:cs="Arial"/>
        </w:rPr>
        <w:t xml:space="preserve">e alguns </w:t>
      </w:r>
      <w:r w:rsidRPr="00DE63D0">
        <w:rPr>
          <w:rFonts w:cs="Arial"/>
        </w:rPr>
        <w:t>canais é identificado como sendo financeiramente demasiado agressivo</w:t>
      </w:r>
      <w:r>
        <w:rPr>
          <w:rFonts w:cs="Arial"/>
        </w:rPr>
        <w:t xml:space="preserve"> e com </w:t>
      </w:r>
      <w:r w:rsidRPr="00DE63D0">
        <w:rPr>
          <w:rFonts w:cs="Arial"/>
        </w:rPr>
        <w:t>fortes impactos na margem dos operadores;</w:t>
      </w:r>
    </w:p>
    <w:p w:rsidR="00492960" w:rsidRPr="00DE63D0" w:rsidRDefault="00492960" w:rsidP="003257D7">
      <w:pPr>
        <w:numPr>
          <w:ilvl w:val="0"/>
          <w:numId w:val="18"/>
        </w:numPr>
        <w:spacing w:after="0"/>
        <w:ind w:left="1134" w:hanging="425"/>
        <w:rPr>
          <w:rFonts w:cs="Arial"/>
        </w:rPr>
      </w:pPr>
      <w:r>
        <w:rPr>
          <w:rFonts w:cs="Arial"/>
        </w:rPr>
        <w:t xml:space="preserve">Em algumas </w:t>
      </w:r>
      <w:r w:rsidRPr="00DE63D0">
        <w:rPr>
          <w:rFonts w:cs="Arial"/>
        </w:rPr>
        <w:t xml:space="preserve">situações, </w:t>
      </w:r>
      <w:r>
        <w:rPr>
          <w:rFonts w:cs="Arial"/>
        </w:rPr>
        <w:t xml:space="preserve">pode haver o risco de </w:t>
      </w:r>
      <w:r w:rsidRPr="00DE63D0">
        <w:rPr>
          <w:rFonts w:cs="Arial"/>
        </w:rPr>
        <w:t xml:space="preserve">interferência do grossista na definição de condições de retalho e o acesso a informação comercial confidencial, </w:t>
      </w:r>
      <w:r>
        <w:rPr>
          <w:rFonts w:cs="Arial"/>
        </w:rPr>
        <w:t xml:space="preserve">com impacto </w:t>
      </w:r>
      <w:r w:rsidRPr="00DE63D0">
        <w:rPr>
          <w:rFonts w:cs="Arial"/>
        </w:rPr>
        <w:t xml:space="preserve">na flexibilidade comercial dos operadores </w:t>
      </w:r>
      <w:r>
        <w:rPr>
          <w:rFonts w:cs="Arial"/>
        </w:rPr>
        <w:t xml:space="preserve">de </w:t>
      </w:r>
      <w:r w:rsidRPr="008F7A51">
        <w:rPr>
          <w:rFonts w:cs="Arial"/>
          <w:i/>
        </w:rPr>
        <w:t>Pay TV</w:t>
      </w:r>
      <w:r w:rsidRPr="00DE63D0">
        <w:rPr>
          <w:rFonts w:cs="Arial"/>
        </w:rPr>
        <w:t>.</w:t>
      </w:r>
    </w:p>
    <w:p w:rsidR="00492960" w:rsidRPr="00DE63D0" w:rsidRDefault="00492960" w:rsidP="00FD4EBC">
      <w:pPr>
        <w:pStyle w:val="PontoUltimo"/>
        <w:ind w:hanging="436"/>
      </w:pPr>
      <w:r w:rsidRPr="00DE63D0">
        <w:t xml:space="preserve">As actuais condições de acesso a conteúdos </w:t>
      </w:r>
      <w:r>
        <w:t>têm impacto n</w:t>
      </w:r>
      <w:r w:rsidRPr="00DE63D0">
        <w:t xml:space="preserve">a competitividade das ofertas de </w:t>
      </w:r>
      <w:r w:rsidRPr="00DE63D0">
        <w:rPr>
          <w:i/>
        </w:rPr>
        <w:t>Pay TV</w:t>
      </w:r>
      <w:r w:rsidRPr="00DE63D0">
        <w:t xml:space="preserve">, em virtude, nomeadamente, da </w:t>
      </w:r>
      <w:r>
        <w:t xml:space="preserve">existência </w:t>
      </w:r>
      <w:r w:rsidRPr="00DE63D0">
        <w:t>de mínimos garantidos</w:t>
      </w:r>
      <w:r>
        <w:t xml:space="preserve">, </w:t>
      </w:r>
      <w:r w:rsidRPr="00DE63D0">
        <w:t xml:space="preserve">de descontos </w:t>
      </w:r>
      <w:r>
        <w:t xml:space="preserve">eventualmente </w:t>
      </w:r>
      <w:r w:rsidRPr="00DE63D0">
        <w:t>desproporcionais</w:t>
      </w:r>
      <w:r>
        <w:t>, ou, ainda, de modelos de custos diferentes aplicados pelo mesmo canal a diferentes operadores.</w:t>
      </w:r>
    </w:p>
    <w:p w:rsidR="00492960" w:rsidRPr="00DE63D0" w:rsidRDefault="00492960" w:rsidP="003257D7">
      <w:pPr>
        <w:pStyle w:val="Heading1"/>
        <w:ind w:left="567" w:hanging="567"/>
      </w:pPr>
      <w:bookmarkStart w:id="9" w:name="_Toc281502709"/>
      <w:bookmarkStart w:id="10" w:name="_Toc281502710"/>
      <w:bookmarkStart w:id="11" w:name="_Toc282544681"/>
      <w:bookmarkStart w:id="12" w:name="_Toc282544798"/>
      <w:bookmarkEnd w:id="9"/>
      <w:bookmarkEnd w:id="10"/>
      <w:r w:rsidRPr="00DE63D0">
        <w:t xml:space="preserve">Remédios </w:t>
      </w:r>
      <w:r>
        <w:t xml:space="preserve">propostos </w:t>
      </w:r>
      <w:r w:rsidRPr="00DE63D0">
        <w:t xml:space="preserve">para as barreiras </w:t>
      </w:r>
      <w:r>
        <w:t>identificadas</w:t>
      </w:r>
      <w:bookmarkEnd w:id="11"/>
      <w:bookmarkEnd w:id="12"/>
    </w:p>
    <w:p w:rsidR="00492960" w:rsidRPr="00D70A15" w:rsidRDefault="00492960" w:rsidP="008D0253">
      <w:pPr>
        <w:pStyle w:val="Preponto"/>
        <w:rPr>
          <w:lang w:val="pt-PT"/>
        </w:rPr>
      </w:pPr>
      <w:r w:rsidRPr="00D70A15">
        <w:rPr>
          <w:lang w:val="pt-PT"/>
        </w:rPr>
        <w:t>Tendo em vista a prevenção e a eliminação de barreiras que condicionem e distorçam o regular funcionamento do mercado, foram identificadas as seguintes medidas no estudo da Maksen Consulting</w:t>
      </w:r>
      <w:r w:rsidRPr="00DE63D0">
        <w:rPr>
          <w:rStyle w:val="FootnoteReference"/>
        </w:rPr>
        <w:footnoteReference w:id="2"/>
      </w:r>
      <w:r w:rsidRPr="00D70A15">
        <w:rPr>
          <w:lang w:val="pt-PT"/>
        </w:rPr>
        <w:t>:</w:t>
      </w:r>
    </w:p>
    <w:p w:rsidR="00492960" w:rsidRPr="00DE63D0" w:rsidRDefault="00492960" w:rsidP="00FD4EBC">
      <w:pPr>
        <w:pStyle w:val="Ponto"/>
        <w:numPr>
          <w:ilvl w:val="1"/>
          <w:numId w:val="38"/>
        </w:numPr>
        <w:ind w:hanging="436"/>
      </w:pPr>
      <w:r w:rsidRPr="001C255D">
        <w:t xml:space="preserve">O poder negocial de alguns fornecedores de conteúdos </w:t>
      </w:r>
      <w:r>
        <w:t xml:space="preserve">essenciais </w:t>
      </w:r>
      <w:r w:rsidRPr="001C255D">
        <w:t xml:space="preserve">poderá ser remediado se existir uma limitação do âmbito temporal dos contratos de exclusividade dos direitos de transmissão televisiva ou uma limitação do âmbito material dos direitos de exclusividade, </w:t>
      </w:r>
      <w:r>
        <w:t xml:space="preserve">impedindo a </w:t>
      </w:r>
      <w:r w:rsidRPr="001C255D">
        <w:t>existência de titulares únicos</w:t>
      </w:r>
      <w:r w:rsidRPr="00DE63D0">
        <w:t xml:space="preserve">. </w:t>
      </w:r>
    </w:p>
    <w:p w:rsidR="00492960" w:rsidRPr="00DE63D0" w:rsidRDefault="00492960" w:rsidP="00FD4EBC">
      <w:pPr>
        <w:pStyle w:val="Ponto"/>
        <w:ind w:hanging="436"/>
      </w:pPr>
      <w:r w:rsidRPr="001C255D">
        <w:t xml:space="preserve">A limitação do acesso a canais </w:t>
      </w:r>
      <w:r>
        <w:t xml:space="preserve">de conteúdos essenciais </w:t>
      </w:r>
      <w:r w:rsidRPr="001C255D">
        <w:t xml:space="preserve">poderá ser remediada através da imposição </w:t>
      </w:r>
      <w:r>
        <w:t xml:space="preserve">de obrigações de fornecimento, </w:t>
      </w:r>
      <w:r w:rsidRPr="001C255D">
        <w:t xml:space="preserve">do tipo </w:t>
      </w:r>
      <w:r w:rsidRPr="001C255D">
        <w:rPr>
          <w:i/>
          <w:iCs/>
        </w:rPr>
        <w:t>must-offer</w:t>
      </w:r>
      <w:r w:rsidRPr="001C255D">
        <w:t xml:space="preserve"> (</w:t>
      </w:r>
      <w:r w:rsidRPr="001C255D">
        <w:rPr>
          <w:i/>
          <w:iCs/>
        </w:rPr>
        <w:t>resale obligations</w:t>
      </w:r>
      <w:r w:rsidRPr="001C255D">
        <w:t>)</w:t>
      </w:r>
      <w:r w:rsidRPr="00DE63D0">
        <w:t>;</w:t>
      </w:r>
    </w:p>
    <w:p w:rsidR="00492960" w:rsidRPr="00DE63D0" w:rsidRDefault="00492960" w:rsidP="00FD4EBC">
      <w:pPr>
        <w:pStyle w:val="Ponto"/>
        <w:ind w:hanging="436"/>
      </w:pPr>
      <w:r w:rsidRPr="00DE63D0">
        <w:t>Quanto ao princing grossista é importante:</w:t>
      </w:r>
    </w:p>
    <w:p w:rsidR="00492960" w:rsidRPr="00D02DB4" w:rsidRDefault="00492960" w:rsidP="008D0253">
      <w:pPr>
        <w:numPr>
          <w:ilvl w:val="0"/>
          <w:numId w:val="18"/>
        </w:numPr>
        <w:spacing w:after="0"/>
        <w:ind w:left="1134" w:hanging="425"/>
        <w:rPr>
          <w:rFonts w:cs="Arial"/>
        </w:rPr>
      </w:pPr>
      <w:r w:rsidRPr="00D02DB4">
        <w:rPr>
          <w:rFonts w:cs="Arial"/>
        </w:rPr>
        <w:tab/>
        <w:t xml:space="preserve">Minimizar </w:t>
      </w:r>
      <w:r>
        <w:rPr>
          <w:rFonts w:cs="Arial"/>
        </w:rPr>
        <w:t>o peso excessivo d</w:t>
      </w:r>
      <w:r w:rsidRPr="00D02DB4">
        <w:rPr>
          <w:rFonts w:cs="Arial"/>
        </w:rPr>
        <w:t>o</w:t>
      </w:r>
      <w:r>
        <w:rPr>
          <w:rFonts w:cs="Arial"/>
        </w:rPr>
        <w:t>s</w:t>
      </w:r>
      <w:r w:rsidRPr="00D02DB4">
        <w:rPr>
          <w:rFonts w:cs="Arial"/>
        </w:rPr>
        <w:t xml:space="preserve"> efeitos de escala;</w:t>
      </w:r>
    </w:p>
    <w:p w:rsidR="00492960" w:rsidRDefault="00492960" w:rsidP="008D0253">
      <w:pPr>
        <w:numPr>
          <w:ilvl w:val="0"/>
          <w:numId w:val="18"/>
        </w:numPr>
        <w:spacing w:after="0"/>
        <w:ind w:left="1134" w:hanging="425"/>
        <w:rPr>
          <w:rFonts w:cs="Arial"/>
        </w:rPr>
      </w:pPr>
      <w:r w:rsidRPr="00D02DB4">
        <w:rPr>
          <w:rFonts w:cs="Arial"/>
        </w:rPr>
        <w:t>Proibir práticas de esmagamento de margens;</w:t>
      </w:r>
    </w:p>
    <w:p w:rsidR="00492960" w:rsidRPr="001C255D" w:rsidRDefault="00492960" w:rsidP="008D0253">
      <w:pPr>
        <w:numPr>
          <w:ilvl w:val="0"/>
          <w:numId w:val="18"/>
        </w:numPr>
        <w:spacing w:after="0"/>
        <w:ind w:left="1134" w:hanging="425"/>
        <w:rPr>
          <w:rFonts w:cs="Arial"/>
        </w:rPr>
      </w:pPr>
      <w:r>
        <w:rPr>
          <w:rFonts w:cs="Arial"/>
        </w:rPr>
        <w:t>E</w:t>
      </w:r>
      <w:r w:rsidRPr="001C255D">
        <w:rPr>
          <w:rFonts w:cs="Arial"/>
        </w:rPr>
        <w:t xml:space="preserve">stabelecer </w:t>
      </w:r>
      <w:r>
        <w:rPr>
          <w:rFonts w:cs="Arial"/>
        </w:rPr>
        <w:t xml:space="preserve">receitas mínimas </w:t>
      </w:r>
      <w:r w:rsidRPr="001C255D">
        <w:rPr>
          <w:rFonts w:cs="Arial"/>
        </w:rPr>
        <w:t>garantid</w:t>
      </w:r>
      <w:r>
        <w:rPr>
          <w:rFonts w:cs="Arial"/>
        </w:rPr>
        <w:t>a</w:t>
      </w:r>
      <w:r w:rsidRPr="001C255D">
        <w:rPr>
          <w:rFonts w:cs="Arial"/>
        </w:rPr>
        <w:t xml:space="preserve">s ou </w:t>
      </w:r>
      <w:r w:rsidRPr="008D0253">
        <w:rPr>
          <w:rFonts w:cs="Arial"/>
        </w:rPr>
        <w:t>flat fees</w:t>
      </w:r>
      <w:r w:rsidRPr="001C255D">
        <w:rPr>
          <w:rFonts w:cs="Arial"/>
        </w:rPr>
        <w:t xml:space="preserve"> justos (</w:t>
      </w:r>
      <w:r w:rsidRPr="008D0253">
        <w:rPr>
          <w:rFonts w:cs="Arial"/>
        </w:rPr>
        <w:t>fair price floors</w:t>
      </w:r>
      <w:r w:rsidRPr="001C255D">
        <w:rPr>
          <w:rFonts w:cs="Arial"/>
        </w:rPr>
        <w:t xml:space="preserve">) </w:t>
      </w:r>
      <w:r>
        <w:rPr>
          <w:rFonts w:cs="Arial"/>
        </w:rPr>
        <w:t xml:space="preserve">para </w:t>
      </w:r>
      <w:r w:rsidRPr="001C255D">
        <w:rPr>
          <w:rFonts w:cs="Arial"/>
        </w:rPr>
        <w:t>garant</w:t>
      </w:r>
      <w:r>
        <w:rPr>
          <w:rFonts w:cs="Arial"/>
        </w:rPr>
        <w:t>ir</w:t>
      </w:r>
      <w:r w:rsidRPr="001C255D">
        <w:rPr>
          <w:rFonts w:cs="Arial"/>
        </w:rPr>
        <w:t xml:space="preserve"> que o preço grossista permit</w:t>
      </w:r>
      <w:r>
        <w:rPr>
          <w:rFonts w:cs="Arial"/>
        </w:rPr>
        <w:t>e</w:t>
      </w:r>
      <w:r w:rsidRPr="001C255D">
        <w:rPr>
          <w:rFonts w:cs="Arial"/>
        </w:rPr>
        <w:t xml:space="preserve"> uma margem positiva para o</w:t>
      </w:r>
      <w:r>
        <w:rPr>
          <w:rFonts w:cs="Arial"/>
        </w:rPr>
        <w:t>s diversos</w:t>
      </w:r>
      <w:r w:rsidRPr="001C255D">
        <w:rPr>
          <w:rFonts w:cs="Arial"/>
        </w:rPr>
        <w:t xml:space="preserve"> operador</w:t>
      </w:r>
      <w:r>
        <w:rPr>
          <w:rFonts w:cs="Arial"/>
        </w:rPr>
        <w:t>es</w:t>
      </w:r>
      <w:r w:rsidRPr="001C255D">
        <w:rPr>
          <w:rFonts w:cs="Arial"/>
        </w:rPr>
        <w:t>;</w:t>
      </w:r>
    </w:p>
    <w:p w:rsidR="00492960" w:rsidRPr="00DE63D0" w:rsidRDefault="00492960" w:rsidP="008D0253">
      <w:pPr>
        <w:numPr>
          <w:ilvl w:val="0"/>
          <w:numId w:val="18"/>
        </w:numPr>
        <w:spacing w:after="0"/>
        <w:ind w:left="1134" w:hanging="425"/>
        <w:rPr>
          <w:rFonts w:cs="Arial"/>
        </w:rPr>
      </w:pPr>
      <w:r>
        <w:rPr>
          <w:rFonts w:cs="Arial"/>
        </w:rPr>
        <w:t>Garantir a existência de condições de facto não discriminatórias no acesso aos conteúdos</w:t>
      </w:r>
      <w:r w:rsidRPr="00E70CDB">
        <w:rPr>
          <w:rFonts w:cs="Arial"/>
        </w:rPr>
        <w:t>, garantindo critérios de justiça face à dimensão dos operadores que assegurem a inexistência de barreiras à entrada e à livre concorrência de mercado</w:t>
      </w:r>
      <w:r>
        <w:rPr>
          <w:rFonts w:cs="Arial"/>
        </w:rPr>
        <w:t>.</w:t>
      </w:r>
    </w:p>
    <w:p w:rsidR="00492960" w:rsidRPr="00DE63D0" w:rsidRDefault="00492960" w:rsidP="00FD4EBC">
      <w:pPr>
        <w:pStyle w:val="PontoUltimo"/>
        <w:ind w:hanging="436"/>
      </w:pPr>
      <w:r w:rsidRPr="00DE63D0">
        <w:t xml:space="preserve">Quanto à interferência nas condições de retalho, é fundamental assegurar que os acordos firmados entre os fornecedores de conteúdos e os operadores não comprometam a liberdade e agilidade comerciais destes últimos, sem prejuízo, naturalmente, da necessária protecção da marca do fornecedor/empacotador. </w:t>
      </w:r>
      <w:r>
        <w:t xml:space="preserve">Deve-se </w:t>
      </w:r>
      <w:r w:rsidRPr="00DE63D0">
        <w:t xml:space="preserve">assegurar a existência de mecanismos contratuais </w:t>
      </w:r>
      <w:r>
        <w:t xml:space="preserve">que impeçam </w:t>
      </w:r>
      <w:r w:rsidRPr="00DE63D0">
        <w:t>a utilização e divulgação de informação comercial sensível ou de negócio</w:t>
      </w:r>
      <w:r>
        <w:t xml:space="preserve">, estabelecendo-se regras para a realização de </w:t>
      </w:r>
      <w:r w:rsidRPr="00DE63D0" w:rsidDel="00AE4C9F">
        <w:t xml:space="preserve">campanhas promocionais </w:t>
      </w:r>
      <w:r>
        <w:t xml:space="preserve">e definindo </w:t>
      </w:r>
      <w:r w:rsidRPr="00DE63D0" w:rsidDel="00AE4C9F">
        <w:t>uma janela temporal reduzida para a tomada de decisão pelos fornecedores de conteúdos, quanto aos pedidos de aprovação de campanhas</w:t>
      </w:r>
      <w:r>
        <w:t>.</w:t>
      </w:r>
    </w:p>
    <w:p w:rsidR="00492960" w:rsidRDefault="00492960" w:rsidP="008D0253">
      <w:r w:rsidRPr="008572A4">
        <w:t xml:space="preserve">A este propósito, a APRITEL sublinha </w:t>
      </w:r>
      <w:r>
        <w:t xml:space="preserve">que </w:t>
      </w:r>
      <w:r w:rsidRPr="008572A4">
        <w:t xml:space="preserve">a Autoridade da Concorrência </w:t>
      </w:r>
      <w:r>
        <w:t xml:space="preserve">detém os poderes </w:t>
      </w:r>
      <w:r w:rsidRPr="008572A4">
        <w:t xml:space="preserve">para </w:t>
      </w:r>
      <w:r>
        <w:t xml:space="preserve">verificar </w:t>
      </w:r>
      <w:r w:rsidRPr="008572A4">
        <w:t>a existência das barreiras identificadas e avaliar, em que medida, os seus efeitos distorcem a concorrência do mercado, bem como para intervir directamente no mercado de conteúdos</w:t>
      </w:r>
      <w:r>
        <w:t>.</w:t>
      </w:r>
    </w:p>
    <w:p w:rsidR="00492960" w:rsidRPr="00DE63D0" w:rsidRDefault="00492960" w:rsidP="003257D7">
      <w:pPr>
        <w:pStyle w:val="Heading1"/>
        <w:ind w:left="567" w:hanging="567"/>
      </w:pPr>
      <w:bookmarkStart w:id="13" w:name="_Toc282540977"/>
      <w:bookmarkStart w:id="14" w:name="_Toc282544682"/>
      <w:bookmarkStart w:id="15" w:name="_Toc282544799"/>
      <w:bookmarkEnd w:id="13"/>
      <w:r w:rsidRPr="00DE63D0">
        <w:t>Ajustamentos ao modelo regulatório actual</w:t>
      </w:r>
      <w:bookmarkEnd w:id="14"/>
      <w:bookmarkEnd w:id="15"/>
    </w:p>
    <w:p w:rsidR="00492960" w:rsidRPr="00DE63D0" w:rsidRDefault="00492960" w:rsidP="003257D7">
      <w:pPr>
        <w:rPr>
          <w:rFonts w:cs="Arial"/>
        </w:rPr>
      </w:pPr>
      <w:r w:rsidRPr="00DE63D0">
        <w:rPr>
          <w:rFonts w:cs="Arial"/>
        </w:rPr>
        <w:t xml:space="preserve">Para além dos remédios para prevenir e eliminar as barreiras, </w:t>
      </w:r>
      <w:r>
        <w:rPr>
          <w:rFonts w:cs="Arial"/>
        </w:rPr>
        <w:t xml:space="preserve">podem </w:t>
      </w:r>
      <w:r w:rsidRPr="00DE63D0">
        <w:rPr>
          <w:rFonts w:cs="Arial"/>
        </w:rPr>
        <w:t xml:space="preserve">ser estudados ajustamentos ao actual modelo regulatório, tomando em consideração a crescente interdependência dos mercados de comunicações electrónicas e de acesso a conteúdos para </w:t>
      </w:r>
      <w:r w:rsidRPr="00DE63D0">
        <w:rPr>
          <w:rFonts w:cs="Arial"/>
          <w:i/>
        </w:rPr>
        <w:t>Pay TV</w:t>
      </w:r>
      <w:r w:rsidRPr="00DE63D0">
        <w:rPr>
          <w:rFonts w:cs="Arial"/>
        </w:rPr>
        <w:t>, como é recomendado no estudo da Maksen Consulting.</w:t>
      </w:r>
    </w:p>
    <w:p w:rsidR="00492960" w:rsidRPr="00DE63D0" w:rsidRDefault="00492960" w:rsidP="003257D7">
      <w:pPr>
        <w:rPr>
          <w:rFonts w:cs="Arial"/>
        </w:rPr>
      </w:pPr>
      <w:r>
        <w:rPr>
          <w:rFonts w:cs="Arial"/>
          <w:bCs/>
        </w:rPr>
        <w:t>N</w:t>
      </w:r>
      <w:r w:rsidRPr="001C255D">
        <w:rPr>
          <w:rFonts w:cs="Arial"/>
          <w:bCs/>
        </w:rPr>
        <w:t>ão exist</w:t>
      </w:r>
      <w:r>
        <w:rPr>
          <w:rFonts w:cs="Arial"/>
          <w:bCs/>
        </w:rPr>
        <w:t>e</w:t>
      </w:r>
      <w:r w:rsidRPr="001C255D">
        <w:rPr>
          <w:rFonts w:cs="Arial"/>
          <w:bCs/>
        </w:rPr>
        <w:t xml:space="preserve"> um regulador único que enderece o</w:t>
      </w:r>
      <w:r>
        <w:rPr>
          <w:rFonts w:cs="Arial"/>
          <w:bCs/>
        </w:rPr>
        <w:t xml:space="preserve">s mercados </w:t>
      </w:r>
      <w:r w:rsidRPr="001C255D">
        <w:rPr>
          <w:rFonts w:cs="Arial"/>
          <w:bCs/>
        </w:rPr>
        <w:t>do acesso aos conteúdos para televisão</w:t>
      </w:r>
      <w:r>
        <w:rPr>
          <w:rFonts w:cs="Arial"/>
          <w:bCs/>
        </w:rPr>
        <w:t xml:space="preserve"> e os mercados vizinhos – como os mercados relacionados com a infra-estruturas de distribuição ou dos serviços vendidos em </w:t>
      </w:r>
      <w:r>
        <w:rPr>
          <w:rFonts w:cs="Arial"/>
          <w:bCs/>
          <w:i/>
        </w:rPr>
        <w:t xml:space="preserve">bundle </w:t>
      </w:r>
      <w:r>
        <w:rPr>
          <w:rFonts w:cs="Arial"/>
          <w:bCs/>
        </w:rPr>
        <w:t xml:space="preserve">com a </w:t>
      </w:r>
      <w:r>
        <w:rPr>
          <w:rFonts w:cs="Arial"/>
          <w:bCs/>
          <w:i/>
        </w:rPr>
        <w:t>Pay TV</w:t>
      </w:r>
      <w:r>
        <w:rPr>
          <w:rFonts w:cs="Arial"/>
          <w:bCs/>
        </w:rPr>
        <w:t>.</w:t>
      </w:r>
      <w:r w:rsidRPr="001C255D">
        <w:rPr>
          <w:rFonts w:cs="Arial"/>
          <w:bCs/>
        </w:rPr>
        <w:t xml:space="preserve"> </w:t>
      </w:r>
      <w:r>
        <w:rPr>
          <w:rFonts w:cs="Arial"/>
          <w:bCs/>
        </w:rPr>
        <w:t>C</w:t>
      </w:r>
      <w:r w:rsidRPr="001C255D">
        <w:rPr>
          <w:rFonts w:cs="Arial"/>
          <w:bCs/>
        </w:rPr>
        <w:t>oexist</w:t>
      </w:r>
      <w:r>
        <w:rPr>
          <w:rFonts w:cs="Arial"/>
          <w:bCs/>
        </w:rPr>
        <w:t xml:space="preserve">em </w:t>
      </w:r>
      <w:r w:rsidRPr="001C255D">
        <w:rPr>
          <w:rFonts w:cs="Arial"/>
          <w:bCs/>
        </w:rPr>
        <w:t>várias entidades (a Autoridade da Concorrência, o ICP-ANACOM e a Entidade Reguladora para a Comunicação Social) com poderes de intervenção distintos</w:t>
      </w:r>
      <w:r>
        <w:rPr>
          <w:rFonts w:cs="Arial"/>
          <w:bCs/>
        </w:rPr>
        <w:t xml:space="preserve">, e uma eventual sobreposição de funções de regulação e análise da concorrência no mercado de acesso a conteúdos televisivos. Certo é </w:t>
      </w:r>
      <w:r w:rsidRPr="001C255D">
        <w:rPr>
          <w:rFonts w:cs="Arial"/>
          <w:bCs/>
        </w:rPr>
        <w:t>que o</w:t>
      </w:r>
      <w:r w:rsidRPr="001C255D">
        <w:rPr>
          <w:rFonts w:cs="Arial"/>
        </w:rPr>
        <w:t xml:space="preserve">s mercados de conteúdos e das comunicações estão cada vez mais próximos, sendo cada vez mais </w:t>
      </w:r>
      <w:r>
        <w:rPr>
          <w:rFonts w:cs="Arial"/>
        </w:rPr>
        <w:t xml:space="preserve">difícil manter </w:t>
      </w:r>
      <w:r w:rsidRPr="001C255D">
        <w:rPr>
          <w:rFonts w:cs="Arial"/>
        </w:rPr>
        <w:t xml:space="preserve">as fronteiras entre estes negócios e as fronteiras entre os </w:t>
      </w:r>
      <w:r w:rsidRPr="001C255D">
        <w:rPr>
          <w:rFonts w:cs="Arial"/>
          <w:i/>
          <w:iCs/>
        </w:rPr>
        <w:t>players</w:t>
      </w:r>
      <w:r w:rsidRPr="001C255D">
        <w:rPr>
          <w:rFonts w:cs="Arial"/>
        </w:rPr>
        <w:t xml:space="preserve"> tradicionais de cada mercado.</w:t>
      </w:r>
    </w:p>
    <w:p w:rsidR="00492960" w:rsidRPr="00DE63D0" w:rsidRDefault="00492960" w:rsidP="003257D7">
      <w:pPr>
        <w:rPr>
          <w:rFonts w:cs="Arial"/>
        </w:rPr>
      </w:pPr>
      <w:r w:rsidRPr="00DE63D0">
        <w:rPr>
          <w:rFonts w:cs="Arial"/>
        </w:rPr>
        <w:t xml:space="preserve">Assim, importa ponderar, tal como já sucede em vários países europeus, a evolução do modelo regulatório deste sector, procurando promover a existência de uma visão integrada da regulação das duas temáticas. A este propósito, </w:t>
      </w:r>
      <w:r>
        <w:rPr>
          <w:rFonts w:cs="Arial"/>
        </w:rPr>
        <w:t>o estudo</w:t>
      </w:r>
      <w:r w:rsidRPr="00DE63D0">
        <w:rPr>
          <w:rFonts w:cs="Arial"/>
        </w:rPr>
        <w:t xml:space="preserve"> salienta a prática da OFCOM (enquanto regulador com poderes ex ante e ex post), cuja intervenção regulatória tem sido um eficaz instrumento-chave para desbloquear o acesso a conteúdos essenciais</w:t>
      </w:r>
      <w:r>
        <w:rPr>
          <w:rFonts w:cs="Arial"/>
        </w:rPr>
        <w:t xml:space="preserve"> no Reino Unido</w:t>
      </w:r>
      <w:r w:rsidRPr="00DE63D0">
        <w:rPr>
          <w:rFonts w:cs="Arial"/>
        </w:rPr>
        <w:t>.</w:t>
      </w:r>
    </w:p>
    <w:p w:rsidR="00492960" w:rsidRPr="00DE63D0" w:rsidRDefault="00492960" w:rsidP="003257D7">
      <w:pPr>
        <w:pStyle w:val="Heading1"/>
        <w:ind w:left="567" w:hanging="567"/>
      </w:pPr>
      <w:bookmarkStart w:id="16" w:name="_Toc281502713"/>
      <w:bookmarkStart w:id="17" w:name="_Toc282544683"/>
      <w:bookmarkStart w:id="18" w:name="_Toc282544800"/>
      <w:bookmarkEnd w:id="16"/>
      <w:r w:rsidRPr="00DE63D0">
        <w:t>Considerações finais</w:t>
      </w:r>
      <w:r>
        <w:t xml:space="preserve"> da APRITEL</w:t>
      </w:r>
      <w:bookmarkEnd w:id="17"/>
      <w:bookmarkEnd w:id="18"/>
    </w:p>
    <w:p w:rsidR="00492960" w:rsidRPr="00DE63D0" w:rsidRDefault="00492960" w:rsidP="003257D7">
      <w:pPr>
        <w:rPr>
          <w:rFonts w:cs="Arial"/>
        </w:rPr>
      </w:pPr>
      <w:r w:rsidRPr="00DE63D0">
        <w:rPr>
          <w:rFonts w:cs="Arial"/>
        </w:rPr>
        <w:t>Atenta a importância que os conteúdos para televisão assumem no desenvolvimento e competitividade do mercado de comunicações electrónicas, a APRITEL considera que é essencial que haja uma atenção particular e acrescida por parte das entidades competentes quanto à matéria do acesso a conteúdos.</w:t>
      </w:r>
    </w:p>
    <w:p w:rsidR="00492960" w:rsidRPr="00DE63D0" w:rsidRDefault="00492960" w:rsidP="003257D7">
      <w:pPr>
        <w:rPr>
          <w:rFonts w:cs="Arial"/>
        </w:rPr>
      </w:pPr>
      <w:r w:rsidRPr="00DE63D0">
        <w:rPr>
          <w:rFonts w:cs="Arial"/>
        </w:rPr>
        <w:t xml:space="preserve">Ainda a este propósito, salienta-se a importância que a criação de um </w:t>
      </w:r>
      <w:r w:rsidRPr="00DE63D0">
        <w:rPr>
          <w:rFonts w:cs="Arial"/>
          <w:i/>
        </w:rPr>
        <w:t>level playing field</w:t>
      </w:r>
      <w:r w:rsidRPr="00DE63D0">
        <w:rPr>
          <w:rFonts w:cs="Arial"/>
        </w:rPr>
        <w:t xml:space="preserve"> assume no estabelecimento de um quadro regulatório dirigido ao mercado de conteúdos e, consequentemente, para os </w:t>
      </w:r>
      <w:r w:rsidRPr="00D02DB4">
        <w:rPr>
          <w:rFonts w:cs="Arial"/>
          <w:i/>
        </w:rPr>
        <w:t>players</w:t>
      </w:r>
      <w:r w:rsidRPr="00DE63D0">
        <w:rPr>
          <w:rFonts w:cs="Arial"/>
        </w:rPr>
        <w:t xml:space="preserve"> do mercado das comunicações. No actual enquadramento de convergência, a prevenção e correcção </w:t>
      </w:r>
      <w:r>
        <w:rPr>
          <w:rFonts w:cs="Arial"/>
        </w:rPr>
        <w:t xml:space="preserve">dos </w:t>
      </w:r>
      <w:r w:rsidRPr="00DE63D0">
        <w:rPr>
          <w:rFonts w:cs="Arial"/>
        </w:rPr>
        <w:t>desequilíbrios no acesso aos conteúdos em condições de sã concorrência é essencial para os operadores de comunicações.</w:t>
      </w:r>
    </w:p>
    <w:p w:rsidR="00492960" w:rsidRPr="00DE63D0" w:rsidRDefault="00492960" w:rsidP="003257D7">
      <w:pPr>
        <w:rPr>
          <w:rFonts w:ascii="Myriad Pro" w:hAnsi="Myriad Pro"/>
          <w:bCs/>
        </w:rPr>
      </w:pPr>
      <w:r w:rsidRPr="00DE63D0">
        <w:rPr>
          <w:rFonts w:cs="Arial"/>
        </w:rPr>
        <w:t xml:space="preserve">Refira-se que as autoridades nacionais têm prestado especial atenção à actividade regulatória. Trata-se de um mercado sempre em evolução que tem permitido o desenvolvimento da </w:t>
      </w:r>
      <w:r>
        <w:rPr>
          <w:rFonts w:cs="Arial"/>
        </w:rPr>
        <w:t>S</w:t>
      </w:r>
      <w:r w:rsidRPr="00DE63D0">
        <w:rPr>
          <w:rFonts w:cs="Arial"/>
        </w:rPr>
        <w:t>ociedade da Informação e de soluções e funcionalidades cada vez mais avançadas.</w:t>
      </w:r>
    </w:p>
    <w:p w:rsidR="00492960" w:rsidRPr="00AB487C" w:rsidRDefault="00492960" w:rsidP="003257D7">
      <w:r w:rsidRPr="00DE63D0">
        <w:rPr>
          <w:rFonts w:cs="Arial"/>
        </w:rPr>
        <w:t xml:space="preserve">Assistimos, agora, a uma nova mudança no sector com o desenvolvimento de redes com novas capacidades de desempenho e novas facilidades, com a incorporação de conteúdos cada vez mais sofisticados e com crescente valor para os consumidores. </w:t>
      </w:r>
      <w:r w:rsidRPr="00DE63D0">
        <w:rPr>
          <w:rFonts w:cs="Arial"/>
          <w:bCs/>
        </w:rPr>
        <w:t xml:space="preserve">É, assim, fundamental que, também neste novo enquadramento, nos mantenhamos na vanguarda da </w:t>
      </w:r>
      <w:r>
        <w:rPr>
          <w:rFonts w:cs="Arial"/>
          <w:bCs/>
        </w:rPr>
        <w:t>inovação</w:t>
      </w:r>
      <w:r w:rsidRPr="00DE63D0">
        <w:rPr>
          <w:rFonts w:cs="Arial"/>
          <w:bCs/>
        </w:rPr>
        <w:t>.</w:t>
      </w:r>
      <w:bookmarkEnd w:id="6"/>
    </w:p>
    <w:sectPr w:rsidR="00492960" w:rsidRPr="00AB487C" w:rsidSect="003257D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134" w:bottom="1985" w:left="1134" w:header="567" w:footer="794" w:gutter="567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60" w:rsidRDefault="00492960">
      <w:r>
        <w:separator/>
      </w:r>
    </w:p>
  </w:endnote>
  <w:endnote w:type="continuationSeparator" w:id="0">
    <w:p w:rsidR="00492960" w:rsidRDefault="0049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60" w:rsidRDefault="00492960" w:rsidP="003257D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92960" w:rsidRDefault="00492960" w:rsidP="003257D7">
    <w:pPr>
      <w:pStyle w:val="Footer"/>
    </w:pPr>
  </w:p>
  <w:p w:rsidR="00492960" w:rsidRDefault="00492960" w:rsidP="003257D7"/>
  <w:p w:rsidR="00492960" w:rsidRDefault="00492960" w:rsidP="003257D7"/>
  <w:p w:rsidR="00492960" w:rsidRDefault="00492960" w:rsidP="003257D7"/>
  <w:p w:rsidR="00492960" w:rsidRDefault="00492960" w:rsidP="003257D7"/>
  <w:p w:rsidR="00492960" w:rsidRDefault="00492960" w:rsidP="003257D7"/>
  <w:p w:rsidR="00492960" w:rsidRDefault="00492960" w:rsidP="003257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60" w:rsidRPr="005F1B99" w:rsidRDefault="00492960" w:rsidP="00751CBB">
    <w:pPr>
      <w:pStyle w:val="Footer"/>
      <w:tabs>
        <w:tab w:val="clear" w:pos="4153"/>
        <w:tab w:val="clear" w:pos="8306"/>
        <w:tab w:val="right" w:pos="2268"/>
        <w:tab w:val="center" w:pos="4536"/>
        <w:tab w:val="right" w:pos="9072"/>
      </w:tabs>
      <w:rPr>
        <w:rFonts w:ascii="Arial" w:hAnsi="Arial" w:cs="Arial"/>
        <w:sz w:val="20"/>
      </w:rPr>
    </w:pPr>
    <w:fldSimple w:instr=" FILENAME   \* MERGEFORMAT ">
      <w:r w:rsidRPr="00206CE9">
        <w:rPr>
          <w:rFonts w:ascii="Arial" w:hAnsi="Arial" w:cs="Arial"/>
          <w:noProof/>
          <w:sz w:val="20"/>
          <w:szCs w:val="16"/>
        </w:rPr>
        <w:t>APRITEL Posicao sobre Conteudos PayTV 20110113c.docx</w:t>
      </w:r>
    </w:fldSimple>
    <w:r w:rsidRPr="00751CBB">
      <w:rPr>
        <w:rFonts w:ascii="Arial" w:hAnsi="Arial" w:cs="Arial"/>
        <w:sz w:val="20"/>
      </w:rPr>
      <w:tab/>
    </w:r>
    <w:r w:rsidRPr="00751CBB">
      <w:rPr>
        <w:rFonts w:ascii="Arial" w:hAnsi="Arial" w:cs="Arial"/>
        <w:sz w:val="20"/>
      </w:rPr>
      <w:fldChar w:fldCharType="begin"/>
    </w:r>
    <w:r w:rsidRPr="00751CBB">
      <w:rPr>
        <w:rFonts w:ascii="Arial" w:hAnsi="Arial" w:cs="Arial"/>
        <w:sz w:val="20"/>
      </w:rPr>
      <w:instrText xml:space="preserve"> PAGE  \* Arabic  \* MERGEFORMAT </w:instrText>
    </w:r>
    <w:r w:rsidRPr="00751CB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751CBB">
      <w:rPr>
        <w:rFonts w:ascii="Arial" w:hAnsi="Arial" w:cs="Arial"/>
        <w:sz w:val="20"/>
      </w:rPr>
      <w:fldChar w:fldCharType="end"/>
    </w:r>
    <w:r w:rsidRPr="00751CBB">
      <w:rPr>
        <w:rFonts w:ascii="Arial" w:hAnsi="Arial" w:cs="Arial"/>
        <w:sz w:val="20"/>
      </w:rPr>
      <w:t>/</w:t>
    </w:r>
    <w:fldSimple w:instr=" NUMPAGES  \* Arabic  \* MERGEFORMAT ">
      <w:r>
        <w:rPr>
          <w:noProof/>
        </w:rPr>
        <w:t>9</w:t>
      </w:r>
    </w:fldSimple>
  </w:p>
  <w:p w:rsidR="00492960" w:rsidRPr="005F1B99" w:rsidRDefault="00492960" w:rsidP="003257D7">
    <w:pPr>
      <w:pStyle w:val="Footer"/>
      <w:tabs>
        <w:tab w:val="clear" w:pos="4153"/>
        <w:tab w:val="clear" w:pos="8306"/>
        <w:tab w:val="right" w:pos="2268"/>
        <w:tab w:val="center" w:pos="4536"/>
        <w:tab w:val="right" w:pos="9072"/>
      </w:tabs>
      <w:spacing w:after="0"/>
      <w:jc w:val="left"/>
      <w:rPr>
        <w:rFonts w:ascii="Arial" w:hAnsi="Arial" w:cs="Arial"/>
        <w:sz w:val="16"/>
        <w:szCs w:val="16"/>
        <w:lang w:eastAsia="en-US"/>
      </w:rPr>
    </w:pPr>
  </w:p>
  <w:p w:rsidR="00492960" w:rsidRPr="00985AB6" w:rsidRDefault="00492960" w:rsidP="003257D7">
    <w:pPr>
      <w:pStyle w:val="Footer"/>
      <w:pBdr>
        <w:top w:val="single" w:sz="4" w:space="4" w:color="auto"/>
      </w:pBdr>
      <w:tabs>
        <w:tab w:val="clear" w:pos="4153"/>
        <w:tab w:val="clear" w:pos="8306"/>
        <w:tab w:val="right" w:pos="2268"/>
        <w:tab w:val="center" w:pos="4536"/>
        <w:tab w:val="right" w:pos="9072"/>
      </w:tabs>
      <w:spacing w:after="0"/>
      <w:jc w:val="left"/>
      <w:rPr>
        <w:sz w:val="16"/>
        <w:szCs w:val="24"/>
        <w:lang w:eastAsia="en-US"/>
      </w:rPr>
    </w:pPr>
    <w:r w:rsidRPr="00985AB6">
      <w:rPr>
        <w:sz w:val="16"/>
        <w:szCs w:val="24"/>
        <w:lang w:eastAsia="en-US"/>
      </w:rPr>
      <w:t>Av. Defensores de Chaves, 15 –</w:t>
    </w:r>
    <w:r w:rsidRPr="00985AB6">
      <w:rPr>
        <w:sz w:val="16"/>
        <w:szCs w:val="24"/>
        <w:lang w:eastAsia="en-US"/>
      </w:rPr>
      <w:tab/>
    </w:r>
    <w:r>
      <w:rPr>
        <w:sz w:val="16"/>
        <w:szCs w:val="24"/>
        <w:lang w:eastAsia="en-US"/>
      </w:rPr>
      <w:t>6º D</w:t>
    </w:r>
    <w:r>
      <w:rPr>
        <w:sz w:val="16"/>
        <w:szCs w:val="24"/>
        <w:lang w:eastAsia="en-US"/>
      </w:rPr>
      <w:tab/>
      <w:t>T. +351 213 550 911</w:t>
    </w:r>
    <w:r>
      <w:rPr>
        <w:sz w:val="16"/>
        <w:szCs w:val="24"/>
        <w:lang w:eastAsia="en-US"/>
      </w:rPr>
      <w:tab/>
      <w:t>apritel</w:t>
    </w:r>
    <w:r w:rsidRPr="00985AB6">
      <w:rPr>
        <w:sz w:val="16"/>
        <w:szCs w:val="24"/>
        <w:lang w:eastAsia="en-US"/>
      </w:rPr>
      <w:t>@</w:t>
    </w:r>
    <w:r>
      <w:rPr>
        <w:sz w:val="16"/>
        <w:szCs w:val="24"/>
        <w:lang w:eastAsia="en-US"/>
      </w:rPr>
      <w:t>apritel</w:t>
    </w:r>
    <w:r w:rsidRPr="00985AB6">
      <w:rPr>
        <w:sz w:val="16"/>
        <w:szCs w:val="24"/>
        <w:lang w:eastAsia="en-US"/>
      </w:rPr>
      <w:t>.org</w:t>
    </w:r>
  </w:p>
  <w:p w:rsidR="00492960" w:rsidRPr="00985AB6" w:rsidRDefault="00492960" w:rsidP="003257D7">
    <w:pPr>
      <w:pStyle w:val="Footer"/>
      <w:pBdr>
        <w:top w:val="single" w:sz="4" w:space="4" w:color="auto"/>
      </w:pBdr>
      <w:tabs>
        <w:tab w:val="clear" w:pos="4153"/>
        <w:tab w:val="clear" w:pos="8306"/>
        <w:tab w:val="right" w:pos="2268"/>
        <w:tab w:val="center" w:pos="4536"/>
        <w:tab w:val="right" w:pos="9072"/>
      </w:tabs>
      <w:spacing w:after="0"/>
      <w:jc w:val="left"/>
      <w:rPr>
        <w:sz w:val="16"/>
        <w:szCs w:val="24"/>
        <w:lang w:eastAsia="en-US"/>
      </w:rPr>
    </w:pPr>
    <w:r w:rsidRPr="00985AB6">
      <w:rPr>
        <w:sz w:val="16"/>
        <w:szCs w:val="24"/>
        <w:lang w:eastAsia="en-US"/>
      </w:rPr>
      <w:t>1000 – 109 Lisboa</w:t>
    </w:r>
    <w:r w:rsidRPr="00985AB6">
      <w:rPr>
        <w:sz w:val="16"/>
        <w:szCs w:val="24"/>
        <w:lang w:eastAsia="en-US"/>
      </w:rPr>
      <w:tab/>
      <w:t>Portugal</w:t>
    </w:r>
    <w:r w:rsidRPr="00985AB6">
      <w:rPr>
        <w:sz w:val="16"/>
        <w:szCs w:val="24"/>
        <w:lang w:eastAsia="en-US"/>
      </w:rPr>
      <w:tab/>
      <w:t>F. +351 213 550 912</w:t>
    </w:r>
    <w:r w:rsidRPr="00985AB6">
      <w:rPr>
        <w:sz w:val="16"/>
        <w:szCs w:val="24"/>
        <w:lang w:eastAsia="en-US"/>
      </w:rPr>
      <w:tab/>
      <w:t>www.</w:t>
    </w:r>
    <w:r>
      <w:rPr>
        <w:sz w:val="16"/>
        <w:szCs w:val="24"/>
        <w:lang w:eastAsia="en-US"/>
      </w:rPr>
      <w:t>apritel</w:t>
    </w:r>
    <w:r w:rsidRPr="00985AB6">
      <w:rPr>
        <w:sz w:val="16"/>
        <w:szCs w:val="24"/>
        <w:lang w:eastAsia="en-US"/>
      </w:rPr>
      <w:t>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60" w:rsidRPr="00751CBB" w:rsidRDefault="00492960" w:rsidP="00751CBB">
    <w:pPr>
      <w:pStyle w:val="Footer"/>
      <w:tabs>
        <w:tab w:val="clear" w:pos="4153"/>
        <w:tab w:val="clear" w:pos="8306"/>
        <w:tab w:val="right" w:pos="2268"/>
        <w:tab w:val="center" w:pos="4536"/>
        <w:tab w:val="right" w:pos="9072"/>
      </w:tabs>
      <w:rPr>
        <w:rFonts w:ascii="Arial" w:hAnsi="Arial" w:cs="Arial"/>
        <w:sz w:val="20"/>
      </w:rPr>
    </w:pPr>
    <w:fldSimple w:instr=" FILENAME   \* MERGEFORMAT ">
      <w:r w:rsidRPr="00206CE9">
        <w:rPr>
          <w:rFonts w:ascii="Arial" w:hAnsi="Arial" w:cs="Arial"/>
          <w:noProof/>
          <w:sz w:val="20"/>
          <w:szCs w:val="16"/>
        </w:rPr>
        <w:t>APRITEL Posicao sobre Conteudos PayTV 20110113c.docx</w:t>
      </w:r>
    </w:fldSimple>
    <w:r w:rsidRPr="00751CBB">
      <w:rPr>
        <w:rFonts w:ascii="Arial" w:hAnsi="Arial" w:cs="Arial"/>
        <w:sz w:val="20"/>
      </w:rPr>
      <w:tab/>
    </w:r>
    <w:r w:rsidRPr="00751CBB">
      <w:rPr>
        <w:rFonts w:ascii="Arial" w:hAnsi="Arial" w:cs="Arial"/>
        <w:sz w:val="20"/>
      </w:rPr>
      <w:fldChar w:fldCharType="begin"/>
    </w:r>
    <w:r w:rsidRPr="00751CBB">
      <w:rPr>
        <w:rFonts w:ascii="Arial" w:hAnsi="Arial" w:cs="Arial"/>
        <w:sz w:val="20"/>
      </w:rPr>
      <w:instrText xml:space="preserve"> PAGE  \* Arabic  \* MERGEFORMAT </w:instrText>
    </w:r>
    <w:r w:rsidRPr="00751CB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751CBB">
      <w:rPr>
        <w:rFonts w:ascii="Arial" w:hAnsi="Arial" w:cs="Arial"/>
        <w:sz w:val="20"/>
      </w:rPr>
      <w:fldChar w:fldCharType="end"/>
    </w:r>
    <w:r w:rsidRPr="00751CBB">
      <w:rPr>
        <w:rFonts w:ascii="Arial" w:hAnsi="Arial" w:cs="Arial"/>
        <w:sz w:val="20"/>
      </w:rPr>
      <w:t>/</w:t>
    </w:r>
    <w:fldSimple w:instr=" NUMPAGES  \* Arabic  \* MERGEFORMAT ">
      <w:r>
        <w:rPr>
          <w:noProof/>
        </w:rPr>
        <w:t>9</w:t>
      </w:r>
    </w:fldSimple>
  </w:p>
  <w:p w:rsidR="00492960" w:rsidRPr="005F1B99" w:rsidRDefault="00492960" w:rsidP="003257D7">
    <w:pPr>
      <w:pStyle w:val="Footer"/>
      <w:tabs>
        <w:tab w:val="clear" w:pos="4153"/>
        <w:tab w:val="clear" w:pos="8306"/>
        <w:tab w:val="right" w:pos="2268"/>
        <w:tab w:val="center" w:pos="4536"/>
        <w:tab w:val="right" w:pos="9072"/>
      </w:tabs>
      <w:spacing w:after="0"/>
      <w:jc w:val="left"/>
      <w:rPr>
        <w:rFonts w:ascii="Arial" w:hAnsi="Arial" w:cs="Arial"/>
        <w:sz w:val="16"/>
        <w:szCs w:val="16"/>
        <w:lang w:eastAsia="en-US"/>
      </w:rPr>
    </w:pPr>
  </w:p>
  <w:p w:rsidR="00492960" w:rsidRPr="00985AB6" w:rsidRDefault="00492960" w:rsidP="003257D7">
    <w:pPr>
      <w:pStyle w:val="Footer"/>
      <w:pBdr>
        <w:top w:val="single" w:sz="4" w:space="4" w:color="auto"/>
      </w:pBdr>
      <w:tabs>
        <w:tab w:val="clear" w:pos="4153"/>
        <w:tab w:val="clear" w:pos="8306"/>
        <w:tab w:val="right" w:pos="2268"/>
        <w:tab w:val="center" w:pos="4536"/>
        <w:tab w:val="right" w:pos="9072"/>
      </w:tabs>
      <w:spacing w:after="0"/>
      <w:jc w:val="left"/>
      <w:rPr>
        <w:sz w:val="16"/>
        <w:szCs w:val="24"/>
        <w:lang w:eastAsia="en-US"/>
      </w:rPr>
    </w:pPr>
    <w:r w:rsidRPr="00985AB6">
      <w:rPr>
        <w:sz w:val="16"/>
        <w:szCs w:val="24"/>
        <w:lang w:eastAsia="en-US"/>
      </w:rPr>
      <w:t>Av. Defensores de Chaves, 15 –</w:t>
    </w:r>
    <w:r w:rsidRPr="00985AB6">
      <w:rPr>
        <w:sz w:val="16"/>
        <w:szCs w:val="24"/>
        <w:lang w:eastAsia="en-US"/>
      </w:rPr>
      <w:tab/>
    </w:r>
    <w:r>
      <w:rPr>
        <w:sz w:val="16"/>
        <w:szCs w:val="24"/>
        <w:lang w:eastAsia="en-US"/>
      </w:rPr>
      <w:t>6º D</w:t>
    </w:r>
    <w:r>
      <w:rPr>
        <w:sz w:val="16"/>
        <w:szCs w:val="24"/>
        <w:lang w:eastAsia="en-US"/>
      </w:rPr>
      <w:tab/>
      <w:t>T. +351 213 550 911</w:t>
    </w:r>
    <w:r>
      <w:rPr>
        <w:sz w:val="16"/>
        <w:szCs w:val="24"/>
        <w:lang w:eastAsia="en-US"/>
      </w:rPr>
      <w:tab/>
      <w:t>apritel</w:t>
    </w:r>
    <w:r w:rsidRPr="00985AB6">
      <w:rPr>
        <w:sz w:val="16"/>
        <w:szCs w:val="24"/>
        <w:lang w:eastAsia="en-US"/>
      </w:rPr>
      <w:t>@</w:t>
    </w:r>
    <w:r>
      <w:rPr>
        <w:sz w:val="16"/>
        <w:szCs w:val="24"/>
        <w:lang w:eastAsia="en-US"/>
      </w:rPr>
      <w:t>apritel</w:t>
    </w:r>
    <w:r w:rsidRPr="00985AB6">
      <w:rPr>
        <w:sz w:val="16"/>
        <w:szCs w:val="24"/>
        <w:lang w:eastAsia="en-US"/>
      </w:rPr>
      <w:t>.org</w:t>
    </w:r>
  </w:p>
  <w:p w:rsidR="00492960" w:rsidRPr="00CC0130" w:rsidRDefault="00492960" w:rsidP="003257D7">
    <w:pPr>
      <w:pStyle w:val="Footer"/>
      <w:pBdr>
        <w:top w:val="single" w:sz="4" w:space="4" w:color="auto"/>
      </w:pBdr>
      <w:tabs>
        <w:tab w:val="clear" w:pos="4153"/>
        <w:tab w:val="clear" w:pos="8306"/>
        <w:tab w:val="right" w:pos="2268"/>
        <w:tab w:val="center" w:pos="4536"/>
        <w:tab w:val="right" w:pos="9072"/>
      </w:tabs>
      <w:spacing w:after="0"/>
      <w:jc w:val="left"/>
      <w:rPr>
        <w:sz w:val="16"/>
        <w:szCs w:val="24"/>
        <w:lang w:eastAsia="en-US"/>
      </w:rPr>
    </w:pPr>
    <w:r w:rsidRPr="00985AB6">
      <w:rPr>
        <w:sz w:val="16"/>
        <w:szCs w:val="24"/>
        <w:lang w:eastAsia="en-US"/>
      </w:rPr>
      <w:t>1000 – 109 Lisboa</w:t>
    </w:r>
    <w:r w:rsidRPr="00985AB6">
      <w:rPr>
        <w:sz w:val="16"/>
        <w:szCs w:val="24"/>
        <w:lang w:eastAsia="en-US"/>
      </w:rPr>
      <w:tab/>
      <w:t>Portugal</w:t>
    </w:r>
    <w:r w:rsidRPr="00985AB6">
      <w:rPr>
        <w:sz w:val="16"/>
        <w:szCs w:val="24"/>
        <w:lang w:eastAsia="en-US"/>
      </w:rPr>
      <w:tab/>
      <w:t>F. +351 213 550 912</w:t>
    </w:r>
    <w:r w:rsidRPr="00985AB6">
      <w:rPr>
        <w:sz w:val="16"/>
        <w:szCs w:val="24"/>
        <w:lang w:eastAsia="en-US"/>
      </w:rPr>
      <w:tab/>
      <w:t>www.</w:t>
    </w:r>
    <w:r>
      <w:rPr>
        <w:sz w:val="16"/>
        <w:szCs w:val="24"/>
        <w:lang w:eastAsia="en-US"/>
      </w:rPr>
      <w:t>apritel.org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60" w:rsidRDefault="00492960">
      <w:r>
        <w:separator/>
      </w:r>
    </w:p>
  </w:footnote>
  <w:footnote w:type="continuationSeparator" w:id="0">
    <w:p w:rsidR="00492960" w:rsidRDefault="00492960">
      <w:r>
        <w:continuationSeparator/>
      </w:r>
    </w:p>
  </w:footnote>
  <w:footnote w:id="1">
    <w:p w:rsidR="00492960" w:rsidRDefault="00492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bCs/>
        </w:rPr>
        <w:t xml:space="preserve">Maksen Consulting, Novembro 2010 - </w:t>
      </w:r>
      <w:r w:rsidRPr="001C255D">
        <w:rPr>
          <w:rFonts w:cs="Arial"/>
          <w:bCs/>
        </w:rPr>
        <w:t xml:space="preserve">“Estudo </w:t>
      </w:r>
      <w:r>
        <w:rPr>
          <w:rFonts w:cs="Arial"/>
          <w:bCs/>
        </w:rPr>
        <w:t>de acesso a</w:t>
      </w:r>
      <w:r w:rsidRPr="001C255D">
        <w:rPr>
          <w:rFonts w:cs="Arial"/>
          <w:bCs/>
        </w:rPr>
        <w:t xml:space="preserve"> </w:t>
      </w:r>
      <w:r>
        <w:rPr>
          <w:rFonts w:cs="Arial"/>
          <w:bCs/>
        </w:rPr>
        <w:t>conteúdos no mercado de pay-tv</w:t>
      </w:r>
      <w:r w:rsidRPr="001C255D">
        <w:rPr>
          <w:rFonts w:cs="Arial"/>
          <w:bCs/>
        </w:rPr>
        <w:t>”</w:t>
      </w:r>
    </w:p>
  </w:footnote>
  <w:footnote w:id="2">
    <w:p w:rsidR="00492960" w:rsidRDefault="00492960" w:rsidP="003257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bCs/>
        </w:rPr>
        <w:t xml:space="preserve">Maksen Consulting, Novembro 2010 - </w:t>
      </w:r>
      <w:r w:rsidRPr="001C255D">
        <w:rPr>
          <w:rFonts w:cs="Arial"/>
          <w:bCs/>
        </w:rPr>
        <w:t xml:space="preserve">“Estudo </w:t>
      </w:r>
      <w:r>
        <w:rPr>
          <w:rFonts w:cs="Arial"/>
          <w:bCs/>
        </w:rPr>
        <w:t>de acesso a</w:t>
      </w:r>
      <w:r w:rsidRPr="001C255D">
        <w:rPr>
          <w:rFonts w:cs="Arial"/>
          <w:bCs/>
        </w:rPr>
        <w:t xml:space="preserve"> </w:t>
      </w:r>
      <w:r>
        <w:rPr>
          <w:rFonts w:cs="Arial"/>
          <w:bCs/>
        </w:rPr>
        <w:t>conteúdos no mercado de pay-tv</w:t>
      </w:r>
      <w:r w:rsidRPr="001C255D">
        <w:rPr>
          <w:rFonts w:cs="Arial"/>
          <w:bCs/>
        </w:rPr>
        <w:t>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60" w:rsidRPr="002E79BD" w:rsidRDefault="00492960" w:rsidP="003257D7">
    <w:pPr>
      <w:pStyle w:val="Header"/>
      <w:rPr>
        <w:sz w:val="16"/>
        <w:szCs w:val="16"/>
      </w:rPr>
    </w:pPr>
    <w:r w:rsidRPr="00B04D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74.75pt;height:42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60" w:rsidRDefault="00492960">
    <w:pPr>
      <w:pStyle w:val="Header"/>
    </w:pPr>
    <w:r w:rsidRPr="00B04D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style="width:174.75pt;height:4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099"/>
    <w:multiLevelType w:val="hybridMultilevel"/>
    <w:tmpl w:val="BA12B5AC"/>
    <w:lvl w:ilvl="0" w:tplc="D69A57B2">
      <w:start w:val="1"/>
      <w:numFmt w:val="bullet"/>
      <w:lvlText w:val=""/>
      <w:lvlJc w:val="left"/>
      <w:pPr>
        <w:tabs>
          <w:tab w:val="num" w:pos="-339"/>
        </w:tabs>
        <w:ind w:left="-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1"/>
        </w:tabs>
        <w:ind w:left="3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</w:abstractNum>
  <w:abstractNum w:abstractNumId="1">
    <w:nsid w:val="1BCF0A65"/>
    <w:multiLevelType w:val="hybridMultilevel"/>
    <w:tmpl w:val="C94C15CC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3C74B39"/>
    <w:multiLevelType w:val="hybridMultilevel"/>
    <w:tmpl w:val="F97C92C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51782"/>
    <w:multiLevelType w:val="hybridMultilevel"/>
    <w:tmpl w:val="0A92E26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E4EA3"/>
    <w:multiLevelType w:val="multilevel"/>
    <w:tmpl w:val="D10C509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10B1EDA"/>
    <w:multiLevelType w:val="hybridMultilevel"/>
    <w:tmpl w:val="ACE0A20A"/>
    <w:lvl w:ilvl="0" w:tplc="0816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C47842"/>
    <w:multiLevelType w:val="hybridMultilevel"/>
    <w:tmpl w:val="C0FC2B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CC3230"/>
    <w:multiLevelType w:val="multilevel"/>
    <w:tmpl w:val="37122C9C"/>
    <w:lvl w:ilvl="0">
      <w:start w:val="4"/>
      <w:numFmt w:val="none"/>
      <w:lvlText w:val="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onto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3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5474E9"/>
    <w:multiLevelType w:val="multilevel"/>
    <w:tmpl w:val="9B48B9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4C523D39"/>
    <w:multiLevelType w:val="hybridMultilevel"/>
    <w:tmpl w:val="E0E8E36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5C6B6E"/>
    <w:multiLevelType w:val="multilevel"/>
    <w:tmpl w:val="580AC9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54434856"/>
    <w:multiLevelType w:val="hybridMultilevel"/>
    <w:tmpl w:val="DA34B8B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62F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2E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E0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65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C6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69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A2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63FA3"/>
    <w:multiLevelType w:val="multilevel"/>
    <w:tmpl w:val="1FEE37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81A13DD"/>
    <w:multiLevelType w:val="multilevel"/>
    <w:tmpl w:val="0816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6A004E86"/>
    <w:multiLevelType w:val="multilevel"/>
    <w:tmpl w:val="962EF4E6"/>
    <w:lvl w:ilvl="0">
      <w:start w:val="4"/>
      <w:numFmt w:val="none"/>
      <w:lvlText w:val="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3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B5C06FF"/>
    <w:multiLevelType w:val="hybridMultilevel"/>
    <w:tmpl w:val="E690C94E"/>
    <w:lvl w:ilvl="0" w:tplc="8D1608EE">
      <w:start w:val="2"/>
      <w:numFmt w:val="decimal"/>
      <w:lvlText w:val="%1."/>
      <w:lvlJc w:val="left"/>
      <w:pPr>
        <w:ind w:left="1077" w:hanging="360"/>
      </w:pPr>
      <w:rPr>
        <w:rFonts w:cs="Times New Roman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6DBB7A78"/>
    <w:multiLevelType w:val="hybridMultilevel"/>
    <w:tmpl w:val="554A60D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C5204B"/>
    <w:multiLevelType w:val="multilevel"/>
    <w:tmpl w:val="43DCA782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7538479F"/>
    <w:multiLevelType w:val="hybridMultilevel"/>
    <w:tmpl w:val="E276645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9D52BC"/>
    <w:multiLevelType w:val="hybridMultilevel"/>
    <w:tmpl w:val="93BAD352"/>
    <w:lvl w:ilvl="0" w:tplc="952AD3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DD41AA"/>
    <w:multiLevelType w:val="multilevel"/>
    <w:tmpl w:val="D10C509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E711493"/>
    <w:multiLevelType w:val="hybridMultilevel"/>
    <w:tmpl w:val="0780F53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A41A2"/>
    <w:multiLevelType w:val="hybridMultilevel"/>
    <w:tmpl w:val="7AB8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0"/>
  </w:num>
  <w:num w:numId="5">
    <w:abstractNumId w:val="20"/>
  </w:num>
  <w:num w:numId="6">
    <w:abstractNumId w:val="4"/>
  </w:num>
  <w:num w:numId="7">
    <w:abstractNumId w:val="10"/>
  </w:num>
  <w:num w:numId="8">
    <w:abstractNumId w:val="6"/>
  </w:num>
  <w:num w:numId="9">
    <w:abstractNumId w:val="2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0"/>
  </w:num>
  <w:num w:numId="15">
    <w:abstractNumId w:val="10"/>
  </w:num>
  <w:num w:numId="16">
    <w:abstractNumId w:val="8"/>
  </w:num>
  <w:num w:numId="17">
    <w:abstractNumId w:val="1"/>
  </w:num>
  <w:num w:numId="18">
    <w:abstractNumId w:val="9"/>
  </w:num>
  <w:num w:numId="19">
    <w:abstractNumId w:val="11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4"/>
  </w:num>
  <w:num w:numId="26">
    <w:abstractNumId w:val="10"/>
  </w:num>
  <w:num w:numId="27">
    <w:abstractNumId w:val="12"/>
  </w:num>
  <w:num w:numId="28">
    <w:abstractNumId w:val="10"/>
  </w:num>
  <w:num w:numId="29">
    <w:abstractNumId w:val="10"/>
  </w:num>
  <w:num w:numId="30">
    <w:abstractNumId w:val="3"/>
  </w:num>
  <w:num w:numId="31">
    <w:abstractNumId w:val="18"/>
  </w:num>
  <w:num w:numId="32">
    <w:abstractNumId w:val="21"/>
  </w:num>
  <w:num w:numId="33">
    <w:abstractNumId w:val="16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E6"/>
    <w:rsid w:val="000077B0"/>
    <w:rsid w:val="00026777"/>
    <w:rsid w:val="000471FB"/>
    <w:rsid w:val="0016104B"/>
    <w:rsid w:val="001C255D"/>
    <w:rsid w:val="00206CE9"/>
    <w:rsid w:val="002835CB"/>
    <w:rsid w:val="002A3942"/>
    <w:rsid w:val="002E79BD"/>
    <w:rsid w:val="00305AB4"/>
    <w:rsid w:val="00312E45"/>
    <w:rsid w:val="003257D7"/>
    <w:rsid w:val="00363B22"/>
    <w:rsid w:val="003E73DF"/>
    <w:rsid w:val="00410F40"/>
    <w:rsid w:val="00420E8A"/>
    <w:rsid w:val="00492960"/>
    <w:rsid w:val="004B7D6B"/>
    <w:rsid w:val="004C4C16"/>
    <w:rsid w:val="004E1146"/>
    <w:rsid w:val="005A7C6A"/>
    <w:rsid w:val="005B5039"/>
    <w:rsid w:val="005C6B37"/>
    <w:rsid w:val="005F1B99"/>
    <w:rsid w:val="006903C7"/>
    <w:rsid w:val="00751CBB"/>
    <w:rsid w:val="00767842"/>
    <w:rsid w:val="007D0EDB"/>
    <w:rsid w:val="007D766F"/>
    <w:rsid w:val="007E0E63"/>
    <w:rsid w:val="007E2239"/>
    <w:rsid w:val="00833A6B"/>
    <w:rsid w:val="008559F9"/>
    <w:rsid w:val="008572A4"/>
    <w:rsid w:val="00863F0E"/>
    <w:rsid w:val="008D0253"/>
    <w:rsid w:val="008F7A51"/>
    <w:rsid w:val="009020B5"/>
    <w:rsid w:val="00985AB6"/>
    <w:rsid w:val="00A341E6"/>
    <w:rsid w:val="00AA3967"/>
    <w:rsid w:val="00AB487C"/>
    <w:rsid w:val="00AE4C9F"/>
    <w:rsid w:val="00B04D13"/>
    <w:rsid w:val="00C246FE"/>
    <w:rsid w:val="00C52D76"/>
    <w:rsid w:val="00C70895"/>
    <w:rsid w:val="00CA3F0C"/>
    <w:rsid w:val="00CC0130"/>
    <w:rsid w:val="00CE63D3"/>
    <w:rsid w:val="00D02DB4"/>
    <w:rsid w:val="00D128FA"/>
    <w:rsid w:val="00D70A15"/>
    <w:rsid w:val="00DE63D0"/>
    <w:rsid w:val="00E6518C"/>
    <w:rsid w:val="00E70CDB"/>
    <w:rsid w:val="00FB22BB"/>
    <w:rsid w:val="00FC1B36"/>
    <w:rsid w:val="00FD4EBC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 w:line="360" w:lineRule="auto"/>
      <w:jc w:val="both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E45"/>
    <w:pPr>
      <w:keepNext/>
      <w:keepLines/>
      <w:numPr>
        <w:numId w:val="4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4"/>
      </w:numPr>
      <w:spacing w:before="120" w:after="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4"/>
      </w:numPr>
      <w:outlineLvl w:val="3"/>
    </w:pPr>
    <w:rPr>
      <w:rFonts w:cs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4"/>
      </w:numPr>
      <w:spacing w:before="240" w:after="60"/>
      <w:jc w:val="left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4"/>
      </w:numPr>
      <w:spacing w:before="240" w:after="60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4"/>
      </w:numPr>
      <w:spacing w:before="240" w:after="60"/>
      <w:jc w:val="left"/>
      <w:outlineLvl w:val="8"/>
    </w:pPr>
    <w:rPr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2E45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sz w:val="28"/>
      <w:szCs w:val="28"/>
      <w:lang w:val="pt-PT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eastAsia="Times New Roman" w:hAnsi="Arial" w:cs="Arial"/>
      <w:b/>
      <w:bCs/>
      <w:sz w:val="22"/>
      <w:lang w:val="pt-PT" w:eastAsia="pt-PT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sz w:val="24"/>
      <w:lang w:val="pt-PT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b/>
      <w:bCs/>
      <w:i/>
      <w:iCs/>
      <w:sz w:val="26"/>
      <w:szCs w:val="26"/>
      <w:lang w:val="pt-PT" w:eastAsia="pt-PT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  <w:lang w:val="pt-PT" w:eastAsia="pt-PT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cs="Times New Roman"/>
      <w:sz w:val="24"/>
      <w:szCs w:val="24"/>
      <w:lang w:val="pt-PT" w:eastAsia="pt-PT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Times New Roman"/>
      <w:i/>
      <w:iCs/>
      <w:sz w:val="24"/>
      <w:szCs w:val="24"/>
      <w:lang w:val="pt-PT" w:eastAsia="pt-PT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  <w:sz w:val="22"/>
      <w:szCs w:val="22"/>
      <w:lang w:val="pt-PT" w:eastAsia="pt-PT"/>
    </w:rPr>
  </w:style>
  <w:style w:type="paragraph" w:styleId="BodyText">
    <w:name w:val="Body Text"/>
    <w:basedOn w:val="Normal"/>
    <w:link w:val="BodyTextChar"/>
    <w:uiPriority w:val="99"/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pt-PT" w:eastAsia="pt-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Garamond" w:hAnsi="Garamond" w:cs="Times New Roman"/>
      <w:sz w:val="24"/>
      <w:lang w:val="pt-PT" w:eastAsia="pt-PT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120" w:line="240" w:lineRule="auto"/>
    </w:pPr>
    <w:rPr>
      <w:rFonts w:ascii="Garamond" w:hAnsi="Garamond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Garamond" w:hAnsi="Garamond"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xt">
    <w:name w:val="txt"/>
    <w:basedOn w:val="Normal"/>
    <w:uiPriority w:val="9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lang w:val="pt-PT" w:eastAsia="pt-PT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pt-PT" w:eastAsia="pt-PT"/>
    </w:rPr>
  </w:style>
  <w:style w:type="paragraph" w:customStyle="1" w:styleId="Ponto">
    <w:name w:val="Ponto"/>
    <w:basedOn w:val="Normal"/>
    <w:uiPriority w:val="99"/>
    <w:rsid w:val="00FD4EBC"/>
    <w:pPr>
      <w:numPr>
        <w:ilvl w:val="1"/>
        <w:numId w:val="36"/>
      </w:numPr>
      <w:spacing w:after="0"/>
    </w:pPr>
    <w:rPr>
      <w:rFonts w:cs="Arial"/>
    </w:rPr>
  </w:style>
  <w:style w:type="paragraph" w:customStyle="1" w:styleId="Texto">
    <w:name w:val="Texto"/>
    <w:basedOn w:val="Normal"/>
    <w:uiPriority w:val="99"/>
    <w:pPr>
      <w:spacing w:line="360" w:lineRule="atLeast"/>
    </w:pPr>
    <w:rPr>
      <w:rFonts w:ascii="Times New Roman" w:hAnsi="Times New Roman"/>
      <w:sz w:val="24"/>
      <w:lang w:eastAsia="en-US"/>
    </w:rPr>
  </w:style>
  <w:style w:type="paragraph" w:customStyle="1" w:styleId="TextoClusulas">
    <w:name w:val="Texto Cláusulas"/>
    <w:basedOn w:val="Normal"/>
    <w:uiPriority w:val="99"/>
    <w:pPr>
      <w:spacing w:before="120"/>
    </w:pPr>
    <w:rPr>
      <w:rFonts w:ascii="Arial Narrow" w:hAnsi="Arial Narrow"/>
      <w:spacing w:val="2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Body">
    <w:name w:val="Body"/>
    <w:basedOn w:val="Normal"/>
    <w:uiPriority w:val="99"/>
    <w:rPr>
      <w:rFonts w:ascii="Times New Roman" w:hAnsi="Times New Roman"/>
      <w:sz w:val="24"/>
      <w:szCs w:val="24"/>
      <w:lang w:val="en-GB" w:eastAsia="en-US"/>
    </w:rPr>
  </w:style>
  <w:style w:type="paragraph" w:customStyle="1" w:styleId="Ponto-pre">
    <w:name w:val="Ponto-pre"/>
    <w:basedOn w:val="Normal"/>
    <w:next w:val="Ponto"/>
    <w:uiPriority w:val="99"/>
    <w:pPr>
      <w:keepNext/>
      <w:spacing w:after="0"/>
    </w:pPr>
  </w:style>
  <w:style w:type="paragraph" w:customStyle="1" w:styleId="Ponto-pos">
    <w:name w:val="Ponto-pos"/>
    <w:basedOn w:val="Ponto"/>
    <w:next w:val="Normal"/>
    <w:uiPriority w:val="99"/>
    <w:pPr>
      <w:spacing w:after="240"/>
    </w:pPr>
  </w:style>
  <w:style w:type="paragraph" w:styleId="Caption">
    <w:name w:val="caption"/>
    <w:basedOn w:val="Normal"/>
    <w:next w:val="Normal"/>
    <w:uiPriority w:val="99"/>
    <w:qFormat/>
    <w:rPr>
      <w:b/>
      <w:bCs/>
      <w:sz w:val="20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Subtitle">
    <w:name w:val="Subtitle"/>
    <w:basedOn w:val="Normal"/>
    <w:link w:val="SubtitleChar"/>
    <w:uiPriority w:val="99"/>
    <w:qFormat/>
    <w:rPr>
      <w:rFonts w:cs="Arial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pt-PT" w:eastAsia="pt-PT"/>
    </w:rPr>
  </w:style>
  <w:style w:type="paragraph" w:customStyle="1" w:styleId="ListadePontos">
    <w:name w:val="Lista de Pontos"/>
    <w:basedOn w:val="Heading4"/>
    <w:uiPriority w:val="99"/>
    <w:pPr>
      <w:spacing w:before="240" w:after="60" w:line="240" w:lineRule="auto"/>
    </w:pPr>
    <w:rPr>
      <w:rFonts w:cs="Times New Roman"/>
      <w:szCs w:val="28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lang w:val="en-US" w:eastAsia="en-US"/>
    </w:rPr>
  </w:style>
  <w:style w:type="paragraph" w:styleId="TOC3">
    <w:name w:val="toc 3"/>
    <w:basedOn w:val="Normal"/>
    <w:next w:val="Normal"/>
    <w:autoRedefine/>
    <w:uiPriority w:val="99"/>
    <w:pPr>
      <w:tabs>
        <w:tab w:val="left" w:pos="1320"/>
        <w:tab w:val="right" w:leader="dot" w:pos="9062"/>
      </w:tabs>
      <w:spacing w:after="0"/>
      <w:ind w:left="480"/>
    </w:pPr>
    <w:rPr>
      <w:rFonts w:cs="Arial"/>
      <w:noProof/>
      <w:szCs w:val="24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0"/>
      <w:jc w:val="left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/>
      <w:b/>
      <w:bCs/>
      <w:sz w:val="20"/>
      <w:szCs w:val="20"/>
      <w:lang w:val="pt-PT" w:eastAsia="pt-PT"/>
    </w:rPr>
  </w:style>
  <w:style w:type="paragraph" w:customStyle="1" w:styleId="Preponto">
    <w:name w:val="Preponto"/>
    <w:basedOn w:val="Normal"/>
    <w:next w:val="Ponto"/>
    <w:uiPriority w:val="99"/>
    <w:pPr>
      <w:keepNext/>
    </w:pPr>
    <w:rPr>
      <w:rFonts w:cs="Arial"/>
      <w:bCs/>
      <w:szCs w:val="24"/>
      <w:lang w:val="en-GB" w:eastAsia="en-US"/>
    </w:rPr>
  </w:style>
  <w:style w:type="paragraph" w:customStyle="1" w:styleId="PontoUltimo">
    <w:name w:val="Ponto Ultimo"/>
    <w:basedOn w:val="Ponto"/>
    <w:next w:val="Normal"/>
    <w:uiPriority w:val="99"/>
    <w:pPr>
      <w:spacing w:after="360"/>
    </w:pPr>
    <w:rPr>
      <w:bCs/>
      <w:szCs w:val="24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pacing w:after="0"/>
      <w:jc w:val="left"/>
    </w:pPr>
    <w:rPr>
      <w:rFonts w:ascii="Arial Narrow" w:hAnsi="Arial Narrow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Arial Narrow" w:hAnsi="Arial Narrow" w:cs="Times New Roman"/>
    </w:rPr>
  </w:style>
  <w:style w:type="paragraph" w:styleId="Revision">
    <w:name w:val="Revision"/>
    <w:hidden/>
    <w:uiPriority w:val="99"/>
    <w:semiHidden/>
    <w:rPr>
      <w:rFonts w:ascii="Arial" w:hAnsi="Arial"/>
      <w:sz w:val="24"/>
      <w:szCs w:val="20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NormalWeb">
    <w:name w:val="Normal (Web)"/>
    <w:basedOn w:val="Normal"/>
    <w:uiPriority w:val="99"/>
    <w:locked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spacing w:before="48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E37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locked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eastAsia="Times New Roman" w:hAnsi="Consolas" w:cs="Times New Roman"/>
      <w:sz w:val="21"/>
      <w:szCs w:val="21"/>
      <w:lang w:val="pt-PT" w:eastAsia="pt-PT"/>
    </w:rPr>
  </w:style>
  <w:style w:type="numbering" w:customStyle="1" w:styleId="Style1">
    <w:name w:val="Style1"/>
    <w:rsid w:val="008E37BA"/>
    <w:pPr>
      <w:numPr>
        <w:numId w:val="2"/>
      </w:numPr>
    </w:pPr>
  </w:style>
  <w:style w:type="numbering" w:customStyle="1" w:styleId="Style2">
    <w:name w:val="Style2"/>
    <w:rsid w:val="008E37B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1950</Words>
  <Characters>10532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do acesso a conteúdos</dc:title>
  <dc:subject/>
  <dc:creator/>
  <cp:keywords/>
  <dc:description/>
  <cp:lastModifiedBy/>
  <cp:revision>2</cp:revision>
  <dcterms:created xsi:type="dcterms:W3CDTF">2011-01-13T17:53:00Z</dcterms:created>
  <dcterms:modified xsi:type="dcterms:W3CDTF">2011-01-13T17:53:00Z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